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0" w:name="_GoBack"/>
      <w:bookmarkEnd w:id="0"/>
    </w:p>
    <w:p>
      <w:pPr>
        <w:spacing w:line="578" w:lineRule="exact"/>
        <w:ind w:firstLine="640" w:firstLineChars="200"/>
        <w:rPr>
          <w:rFonts w:ascii="Times New Roman" w:hAnsi="Times New Roman" w:eastAsia="黑体" w:cs="Times New Roman"/>
          <w:sz w:val="32"/>
          <w:szCs w:val="32"/>
        </w:rPr>
      </w:pPr>
    </w:p>
    <w:p>
      <w:pPr>
        <w:spacing w:line="578"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三亚市农村集体经济组织收益分配指导意见</w:t>
      </w:r>
    </w:p>
    <w:p>
      <w:pPr>
        <w:spacing w:line="578"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起草说明</w:t>
      </w:r>
    </w:p>
    <w:p>
      <w:pPr>
        <w:spacing w:line="578" w:lineRule="exact"/>
        <w:ind w:firstLine="640" w:firstLineChars="200"/>
        <w:rPr>
          <w:rFonts w:ascii="Times New Roman" w:hAnsi="Times New Roman" w:eastAsia="黑体" w:cs="Times New Roman"/>
          <w:sz w:val="32"/>
          <w:szCs w:val="32"/>
        </w:rPr>
      </w:pPr>
    </w:p>
    <w:p>
      <w:pPr>
        <w:spacing w:line="578"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起草背景、依据及目的</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2022年5月19日，市政府印发《三亚市农村集体经济组织收益分配指导意见（试行）》（三府规〔2022〕14号），于2025年5月19日到期。</w:t>
      </w:r>
      <w:r>
        <w:rPr>
          <w:rFonts w:ascii="Times New Roman" w:hAnsi="Times New Roman" w:eastAsia="仿宋_GB2312" w:cs="Times New Roman"/>
          <w:sz w:val="32"/>
          <w:szCs w:val="32"/>
        </w:rPr>
        <w:t>为进一步深化农村集体产权制度改革，规范农村集体经济组织收益分配管理，发展壮大集体经济，</w:t>
      </w:r>
      <w:r>
        <w:rPr>
          <w:rFonts w:hint="eastAsia" w:ascii="Times New Roman" w:hAnsi="Times New Roman" w:eastAsia="仿宋_GB2312" w:cs="Times New Roman"/>
          <w:sz w:val="32"/>
          <w:szCs w:val="32"/>
          <w:lang w:eastAsia="zh-CN"/>
        </w:rPr>
        <w:t>促进农村集体经济健康发展和</w:t>
      </w:r>
      <w:r>
        <w:rPr>
          <w:rFonts w:ascii="Times New Roman" w:hAnsi="Times New Roman" w:eastAsia="仿宋_GB2312" w:cs="Times New Roman"/>
          <w:sz w:val="32"/>
          <w:szCs w:val="32"/>
        </w:rPr>
        <w:t>增</w:t>
      </w:r>
      <w:r>
        <w:rPr>
          <w:rFonts w:hint="eastAsia" w:ascii="Times New Roman" w:hAnsi="Times New Roman" w:eastAsia="仿宋_GB2312" w:cs="Times New Roman"/>
          <w:sz w:val="32"/>
          <w:szCs w:val="32"/>
        </w:rPr>
        <w:t>加</w:t>
      </w:r>
      <w:r>
        <w:rPr>
          <w:rFonts w:ascii="Times New Roman" w:hAnsi="Times New Roman" w:eastAsia="仿宋_GB2312" w:cs="Times New Roman"/>
          <w:sz w:val="32"/>
          <w:szCs w:val="32"/>
        </w:rPr>
        <w:t>农民收入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促进乡村</w:t>
      </w:r>
      <w:r>
        <w:rPr>
          <w:rFonts w:hint="eastAsia" w:ascii="Times New Roman" w:hAnsi="Times New Roman" w:eastAsia="仿宋_GB2312" w:cs="Times New Roman"/>
          <w:sz w:val="32"/>
          <w:szCs w:val="32"/>
          <w:lang w:eastAsia="zh-CN"/>
        </w:rPr>
        <w:t>全面</w:t>
      </w:r>
      <w:r>
        <w:rPr>
          <w:rFonts w:ascii="Times New Roman" w:hAnsi="Times New Roman" w:eastAsia="仿宋_GB2312" w:cs="Times New Roman"/>
          <w:sz w:val="32"/>
          <w:szCs w:val="32"/>
        </w:rPr>
        <w:t>振兴。结合</w:t>
      </w:r>
      <w:r>
        <w:rPr>
          <w:rFonts w:hint="eastAsia" w:ascii="Times New Roman" w:hAnsi="Times New Roman" w:eastAsia="仿宋_GB2312" w:cs="Times New Roman"/>
          <w:sz w:val="32"/>
          <w:szCs w:val="32"/>
          <w:lang w:eastAsia="zh-CN"/>
        </w:rPr>
        <w:t>《中华人民共和国农村集体经济组织法》</w:t>
      </w:r>
      <w:r>
        <w:rPr>
          <w:rFonts w:hint="eastAsia" w:ascii="Times New Roman" w:hAnsi="Times New Roman" w:eastAsia="仿宋_GB2312" w:cs="Times New Roman"/>
          <w:sz w:val="32"/>
          <w:szCs w:val="32"/>
        </w:rPr>
        <w:t>《财政部 农业农村部关于印发</w:t>
      </w:r>
      <w:r>
        <w:rPr>
          <w:rFonts w:ascii="Times New Roman" w:hAnsi="Times New Roman" w:eastAsia="仿宋_GB2312" w:cs="Times New Roman"/>
          <w:sz w:val="32"/>
          <w:szCs w:val="32"/>
          <w:lang w:val="en"/>
        </w:rPr>
        <w:t>&lt;</w:t>
      </w:r>
      <w:r>
        <w:rPr>
          <w:rFonts w:hint="eastAsia" w:ascii="Times New Roman" w:hAnsi="Times New Roman" w:eastAsia="仿宋_GB2312" w:cs="Times New Roman"/>
          <w:sz w:val="32"/>
          <w:szCs w:val="32"/>
        </w:rPr>
        <w:t>农村集体经济组织财务制度</w:t>
      </w:r>
      <w:r>
        <w:rPr>
          <w:rFonts w:ascii="Times New Roman" w:hAnsi="Times New Roman" w:eastAsia="仿宋_GB2312" w:cs="Times New Roman"/>
          <w:sz w:val="32"/>
          <w:szCs w:val="32"/>
          <w:lang w:val="en"/>
        </w:rPr>
        <w:t>&gt;</w:t>
      </w:r>
      <w:r>
        <w:rPr>
          <w:rFonts w:hint="eastAsia" w:ascii="Times New Roman" w:hAnsi="Times New Roman" w:eastAsia="仿宋_GB2312" w:cs="Times New Roman"/>
          <w:sz w:val="32"/>
          <w:szCs w:val="32"/>
        </w:rPr>
        <w:t>的通知》（财农〔2021〕121号）</w:t>
      </w:r>
      <w:r>
        <w:rPr>
          <w:rFonts w:hint="eastAsia" w:ascii="Times New Roman" w:hAnsi="Times New Roman" w:eastAsia="仿宋_GB2312" w:cs="Times New Roman"/>
          <w:sz w:val="32"/>
          <w:szCs w:val="32"/>
          <w:lang w:eastAsia="zh-CN"/>
        </w:rPr>
        <w:t>、《财政部关于印发</w:t>
      </w:r>
      <w:r>
        <w:rPr>
          <w:rFonts w:hint="default" w:ascii="Times New Roman" w:hAnsi="Times New Roman" w:eastAsia="仿宋_GB2312" w:cs="Times New Roman"/>
          <w:sz w:val="32"/>
          <w:szCs w:val="32"/>
          <w:lang w:val="en" w:eastAsia="zh-CN"/>
        </w:rPr>
        <w:t>&lt;</w:t>
      </w:r>
      <w:r>
        <w:rPr>
          <w:rFonts w:hint="eastAsia" w:ascii="Times New Roman" w:hAnsi="Times New Roman" w:eastAsia="仿宋_GB2312" w:cs="Times New Roman"/>
          <w:sz w:val="32"/>
          <w:szCs w:val="32"/>
          <w:lang w:val="en" w:eastAsia="zh-CN"/>
        </w:rPr>
        <w:t>农村集体经济组织会计制度</w:t>
      </w:r>
      <w:r>
        <w:rPr>
          <w:rFonts w:hint="default" w:ascii="Times New Roman" w:hAnsi="Times New Roman" w:eastAsia="仿宋_GB2312" w:cs="Times New Roman"/>
          <w:sz w:val="32"/>
          <w:szCs w:val="32"/>
          <w:lang w:val="en" w:eastAsia="zh-CN"/>
        </w:rPr>
        <w:t>&gt;</w:t>
      </w:r>
      <w:r>
        <w:rPr>
          <w:rFonts w:hint="eastAsia" w:ascii="Times New Roman" w:hAnsi="Times New Roman" w:eastAsia="仿宋_GB2312" w:cs="Times New Roman"/>
          <w:sz w:val="32"/>
          <w:szCs w:val="32"/>
          <w:lang w:val="en" w:eastAsia="zh-CN"/>
        </w:rPr>
        <w:t>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（财</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号）和</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中共海南省委办公厅 海南省人民政府办公厅印发《关于进一步促进新型农村集体经济提质增效的若干措施》的通知</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琼</w:t>
      </w:r>
      <w:r>
        <w:rPr>
          <w:rFonts w:ascii="Times New Roman" w:hAnsi="Times New Roman" w:eastAsia="仿宋_GB2312" w:cs="Times New Roman"/>
          <w:sz w:val="32"/>
          <w:szCs w:val="32"/>
          <w:highlight w:val="none"/>
        </w:rPr>
        <w:t>办</w:t>
      </w:r>
      <w:r>
        <w:rPr>
          <w:rFonts w:hint="eastAsia" w:ascii="Times New Roman" w:hAnsi="Times New Roman" w:eastAsia="仿宋_GB2312" w:cs="Times New Roman"/>
          <w:sz w:val="32"/>
          <w:szCs w:val="32"/>
          <w:highlight w:val="none"/>
          <w:lang w:eastAsia="zh-CN"/>
        </w:rPr>
        <w:t>发</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2025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25</w:t>
      </w:r>
      <w:r>
        <w:rPr>
          <w:rFonts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lang w:val="en-US" w:eastAsia="zh-CN"/>
        </w:rPr>
        <w:t>等法规政策，以及</w:t>
      </w:r>
      <w:r>
        <w:rPr>
          <w:rFonts w:ascii="Times New Roman" w:hAnsi="Times New Roman" w:eastAsia="仿宋_GB2312" w:cs="Times New Roman"/>
          <w:sz w:val="32"/>
          <w:szCs w:val="32"/>
        </w:rPr>
        <w:t>三亚市实际情况</w:t>
      </w:r>
      <w:r>
        <w:rPr>
          <w:rFonts w:hint="eastAsia" w:ascii="Times New Roman" w:hAnsi="Times New Roman" w:eastAsia="仿宋_GB2312" w:cs="Times New Roman"/>
          <w:sz w:val="32"/>
          <w:szCs w:val="32"/>
          <w:lang w:eastAsia="zh-CN"/>
        </w:rPr>
        <w:t>起草《三亚市</w:t>
      </w:r>
      <w:r>
        <w:rPr>
          <w:rFonts w:ascii="Times New Roman" w:hAnsi="Times New Roman" w:eastAsia="仿宋_GB2312" w:cs="Times New Roman"/>
          <w:sz w:val="32"/>
          <w:szCs w:val="32"/>
        </w:rPr>
        <w:t>农村集体经济组织收益分配的指导意见</w:t>
      </w:r>
      <w:r>
        <w:rPr>
          <w:rFonts w:hint="eastAsia" w:ascii="Times New Roman" w:hAnsi="Times New Roman" w:eastAsia="仿宋_GB2312" w:cs="Times New Roman"/>
          <w:sz w:val="32"/>
          <w:szCs w:val="32"/>
          <w:lang w:eastAsia="zh-CN"/>
        </w:rPr>
        <w:t>（修订意见稿）》，</w:t>
      </w:r>
      <w:r>
        <w:rPr>
          <w:rFonts w:ascii="Times New Roman" w:hAnsi="Times New Roman" w:eastAsia="仿宋_GB2312" w:cs="Times New Roman"/>
          <w:sz w:val="32"/>
          <w:szCs w:val="32"/>
        </w:rPr>
        <w:t>农村集体经济组织可根据此指导意见，结合本集体的特征和需求，形成各自的分配方案。</w:t>
      </w:r>
    </w:p>
    <w:p>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ascii="Times New Roman" w:hAnsi="Times New Roman" w:eastAsia="黑体" w:cs="Times New Roman"/>
          <w:sz w:val="32"/>
          <w:szCs w:val="32"/>
        </w:rPr>
        <w:t>、主要内容</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（一）收益分配的基本原则。</w:t>
      </w:r>
      <w:r>
        <w:rPr>
          <w:rFonts w:hint="eastAsia" w:ascii="Times New Roman" w:hAnsi="Times New Roman" w:eastAsia="仿宋_GB2312" w:cs="Times New Roman"/>
          <w:b/>
          <w:bCs/>
          <w:sz w:val="32"/>
          <w:szCs w:val="32"/>
          <w:lang w:eastAsia="zh-CN"/>
        </w:rPr>
        <w:t>一是</w:t>
      </w:r>
      <w:r>
        <w:rPr>
          <w:rFonts w:hint="eastAsia" w:ascii="Times New Roman" w:hAnsi="Times New Roman" w:eastAsia="仿宋_GB2312" w:cs="Times New Roman"/>
          <w:sz w:val="32"/>
          <w:szCs w:val="32"/>
        </w:rPr>
        <w:t>坚持农民集体所有不动摇为原则，符合中共中央、国务院印发《关于稳步推进农村集体产权制度改革的意见》提出的总体要求。</w:t>
      </w:r>
      <w:r>
        <w:rPr>
          <w:rFonts w:hint="eastAsia" w:ascii="Times New Roman" w:hAnsi="Times New Roman" w:eastAsia="仿宋_GB2312" w:cs="Times New Roman"/>
          <w:b/>
          <w:bCs/>
          <w:sz w:val="32"/>
          <w:szCs w:val="32"/>
          <w:lang w:eastAsia="zh-CN"/>
        </w:rPr>
        <w:t>二是</w:t>
      </w:r>
      <w:r>
        <w:rPr>
          <w:rFonts w:ascii="Times New Roman" w:hAnsi="Times New Roman" w:eastAsia="仿宋_GB2312" w:cs="Times New Roman"/>
          <w:sz w:val="32"/>
          <w:szCs w:val="32"/>
        </w:rPr>
        <w:t>遵循民主决策原则，充分尊重本集体经济组织成员的意见。</w:t>
      </w:r>
      <w:r>
        <w:rPr>
          <w:rFonts w:hint="eastAsia" w:ascii="Times New Roman" w:hAnsi="Times New Roman" w:eastAsia="仿宋_GB2312" w:cs="Times New Roman"/>
          <w:b/>
          <w:bCs/>
          <w:sz w:val="32"/>
          <w:szCs w:val="32"/>
          <w:lang w:eastAsia="zh-CN"/>
        </w:rPr>
        <w:t>三是</w:t>
      </w:r>
      <w:r>
        <w:rPr>
          <w:rFonts w:ascii="Times New Roman" w:hAnsi="Times New Roman" w:eastAsia="仿宋_GB2312" w:cs="Times New Roman"/>
          <w:sz w:val="32"/>
          <w:szCs w:val="32"/>
        </w:rPr>
        <w:t>遵循效益优先原则，即集体经济收益要优先满足农村集体经济组织生产经营发展的需要，增强集体经济内生动力。</w:t>
      </w:r>
      <w:r>
        <w:rPr>
          <w:rFonts w:hint="eastAsia" w:ascii="Times New Roman" w:hAnsi="Times New Roman" w:eastAsia="仿宋_GB2312" w:cs="Times New Roman"/>
          <w:b/>
          <w:bCs/>
          <w:sz w:val="32"/>
          <w:szCs w:val="32"/>
          <w:lang w:eastAsia="zh-CN"/>
        </w:rPr>
        <w:t>四是</w:t>
      </w:r>
      <w:r>
        <w:rPr>
          <w:rFonts w:ascii="Times New Roman" w:hAnsi="Times New Roman" w:eastAsia="仿宋_GB2312" w:cs="Times New Roman"/>
          <w:sz w:val="32"/>
          <w:szCs w:val="32"/>
        </w:rPr>
        <w:t>坚持同股同权原则，集体经济组织成员根据股权享有的集体收益分配。</w:t>
      </w:r>
      <w:r>
        <w:rPr>
          <w:rFonts w:hint="eastAsia" w:ascii="Times New Roman" w:hAnsi="Times New Roman" w:eastAsia="仿宋_GB2312" w:cs="Times New Roman"/>
          <w:b/>
          <w:bCs/>
          <w:sz w:val="32"/>
          <w:szCs w:val="32"/>
          <w:lang w:eastAsia="zh-CN"/>
        </w:rPr>
        <w:t>五是</w:t>
      </w:r>
      <w:r>
        <w:rPr>
          <w:rFonts w:ascii="Times New Roman" w:hAnsi="Times New Roman" w:eastAsia="仿宋_GB2312" w:cs="Times New Roman"/>
          <w:sz w:val="32"/>
          <w:szCs w:val="32"/>
        </w:rPr>
        <w:t>遵循利益共享原则，即收益分配方案要兼顾各方利益，维护各方面的合法权益。</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（二）收益分配的程序。</w:t>
      </w:r>
      <w:r>
        <w:rPr>
          <w:rFonts w:hint="eastAsia" w:ascii="Times New Roman" w:hAnsi="Times New Roman" w:eastAsia="仿宋_GB2312" w:cs="Times New Roman"/>
          <w:b/>
          <w:bCs/>
          <w:sz w:val="32"/>
          <w:szCs w:val="32"/>
          <w:lang w:eastAsia="zh-CN"/>
        </w:rPr>
        <w:t>一是</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初步</w:t>
      </w:r>
      <w:r>
        <w:rPr>
          <w:rFonts w:ascii="Times New Roman" w:hAnsi="Times New Roman" w:eastAsia="仿宋_GB2312" w:cs="Times New Roman"/>
          <w:sz w:val="32"/>
          <w:szCs w:val="32"/>
        </w:rPr>
        <w:t>方案。在准确核算后，理事会按照章程制定收益分配初步方案</w:t>
      </w:r>
      <w:r>
        <w:rPr>
          <w:rFonts w:hint="eastAsia" w:ascii="Times New Roman" w:hAnsi="Times New Roman" w:eastAsia="仿宋_GB2312" w:cs="Times New Roman"/>
          <w:sz w:val="32"/>
          <w:szCs w:val="32"/>
        </w:rPr>
        <w:t>，并由监事会审核</w:t>
      </w:r>
      <w:r>
        <w:rPr>
          <w:rFonts w:ascii="Times New Roman" w:hAnsi="Times New Roman" w:eastAsia="仿宋_GB2312" w:cs="Times New Roman"/>
          <w:sz w:val="32"/>
          <w:szCs w:val="32"/>
        </w:rPr>
        <w:t>。</w:t>
      </w:r>
      <w:r>
        <w:rPr>
          <w:rFonts w:hint="eastAsia" w:ascii="Times New Roman" w:hAnsi="Times New Roman" w:eastAsia="仿宋_GB2312" w:cs="Times New Roman"/>
          <w:b/>
          <w:bCs/>
          <w:sz w:val="32"/>
          <w:szCs w:val="32"/>
          <w:lang w:eastAsia="zh-CN"/>
        </w:rPr>
        <w:t>二是</w:t>
      </w:r>
      <w:r>
        <w:rPr>
          <w:rFonts w:ascii="Times New Roman" w:hAnsi="Times New Roman" w:eastAsia="仿宋_GB2312" w:cs="Times New Roman"/>
          <w:sz w:val="32"/>
          <w:szCs w:val="32"/>
        </w:rPr>
        <w:t>是审议公示。</w:t>
      </w:r>
      <w:r>
        <w:rPr>
          <w:rFonts w:hint="eastAsia" w:ascii="Times New Roman" w:hAnsi="Times New Roman" w:eastAsia="仿宋_GB2312" w:cs="Times New Roman"/>
          <w:sz w:val="32"/>
          <w:szCs w:val="32"/>
        </w:rPr>
        <w:t>参照“四议两公开”程序，分配方案上报区农业农村主管部门</w:t>
      </w:r>
      <w:r>
        <w:rPr>
          <w:rFonts w:ascii="Times New Roman" w:hAnsi="Times New Roman" w:eastAsia="仿宋_GB2312" w:cs="Times New Roman"/>
          <w:sz w:val="32"/>
          <w:szCs w:val="32"/>
        </w:rPr>
        <w:t>审核，集体决议通过，张榜公示。</w:t>
      </w:r>
      <w:r>
        <w:rPr>
          <w:rFonts w:hint="eastAsia" w:ascii="Times New Roman" w:hAnsi="Times New Roman" w:eastAsia="仿宋_GB2312" w:cs="Times New Roman"/>
          <w:b/>
          <w:bCs/>
          <w:sz w:val="32"/>
          <w:szCs w:val="32"/>
          <w:lang w:eastAsia="zh-CN"/>
        </w:rPr>
        <w:t>三</w:t>
      </w:r>
      <w:r>
        <w:rPr>
          <w:rFonts w:ascii="Times New Roman" w:hAnsi="Times New Roman" w:eastAsia="仿宋_GB2312" w:cs="Times New Roman"/>
          <w:b/>
          <w:bCs/>
          <w:sz w:val="32"/>
          <w:szCs w:val="32"/>
        </w:rPr>
        <w:t>是</w:t>
      </w:r>
      <w:r>
        <w:rPr>
          <w:rFonts w:ascii="Times New Roman" w:hAnsi="Times New Roman" w:eastAsia="仿宋_GB2312" w:cs="Times New Roman"/>
          <w:sz w:val="32"/>
          <w:szCs w:val="32"/>
        </w:rPr>
        <w:t>方案实施。按收益分配方案进行收益分配，成员</w:t>
      </w:r>
      <w:r>
        <w:rPr>
          <w:rFonts w:hint="eastAsia" w:ascii="Times New Roman" w:hAnsi="Times New Roman" w:eastAsia="仿宋_GB2312" w:cs="Times New Roman"/>
          <w:sz w:val="32"/>
          <w:szCs w:val="32"/>
        </w:rPr>
        <w:t>或成员代表</w:t>
      </w:r>
      <w:r>
        <w:rPr>
          <w:rFonts w:ascii="Times New Roman" w:hAnsi="Times New Roman" w:eastAsia="仿宋_GB2312" w:cs="Times New Roman"/>
          <w:sz w:val="32"/>
          <w:szCs w:val="32"/>
        </w:rPr>
        <w:t>签字确认。</w:t>
      </w:r>
      <w:r>
        <w:rPr>
          <w:rFonts w:ascii="Times New Roman" w:hAnsi="Times New Roman" w:eastAsia="仿宋_GB2312" w:cs="Times New Roman"/>
          <w:b/>
          <w:bCs/>
          <w:sz w:val="32"/>
          <w:szCs w:val="32"/>
        </w:rPr>
        <w:t>四是</w:t>
      </w:r>
      <w:r>
        <w:rPr>
          <w:rFonts w:ascii="Times New Roman" w:hAnsi="Times New Roman" w:eastAsia="仿宋_GB2312" w:cs="Times New Roman"/>
          <w:sz w:val="32"/>
          <w:szCs w:val="32"/>
        </w:rPr>
        <w:t>将结果报区农业农村</w:t>
      </w:r>
      <w:r>
        <w:rPr>
          <w:rFonts w:hint="eastAsia" w:ascii="Times New Roman" w:hAnsi="Times New Roman" w:eastAsia="仿宋_GB2312" w:cs="Times New Roman"/>
          <w:sz w:val="32"/>
          <w:szCs w:val="32"/>
        </w:rPr>
        <w:t>主管部门</w:t>
      </w:r>
      <w:r>
        <w:rPr>
          <w:rFonts w:ascii="Times New Roman" w:hAnsi="Times New Roman" w:eastAsia="仿宋_GB2312" w:cs="Times New Roman"/>
          <w:sz w:val="32"/>
          <w:szCs w:val="32"/>
        </w:rPr>
        <w:t>登记备案。</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（三）收益分配范围和优先序。</w:t>
      </w:r>
      <w:r>
        <w:rPr>
          <w:rFonts w:ascii="Times New Roman" w:hAnsi="Times New Roman" w:eastAsia="仿宋_GB2312" w:cs="Times New Roman"/>
          <w:sz w:val="32"/>
          <w:szCs w:val="32"/>
        </w:rPr>
        <w:t>收益分配范围包括农村集体经济组织在一个会计年度末可进行分配的总收益，</w:t>
      </w:r>
      <w:r>
        <w:rPr>
          <w:rFonts w:hint="eastAsia" w:ascii="Times New Roman" w:hAnsi="Times New Roman" w:eastAsia="仿宋_GB2312" w:cs="Times New Roman"/>
          <w:sz w:val="32"/>
          <w:szCs w:val="32"/>
        </w:rPr>
        <w:t>法律、法规及相关政策</w:t>
      </w:r>
      <w:r>
        <w:rPr>
          <w:rFonts w:ascii="Times New Roman" w:hAnsi="Times New Roman" w:eastAsia="仿宋_GB2312" w:cs="Times New Roman"/>
          <w:sz w:val="32"/>
          <w:szCs w:val="32"/>
        </w:rPr>
        <w:t>明确规定的相关收益不纳入当年的收益分配。</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收益分配的优先序如下：</w:t>
      </w:r>
      <w:r>
        <w:rPr>
          <w:rFonts w:hint="eastAsia" w:ascii="Times New Roman" w:hAnsi="Times New Roman" w:eastAsia="仿宋_GB2312" w:cs="Times New Roman"/>
          <w:b/>
          <w:bCs/>
          <w:sz w:val="32"/>
          <w:szCs w:val="32"/>
          <w:lang w:eastAsia="zh-CN"/>
        </w:rPr>
        <w:t>一</w:t>
      </w:r>
      <w:r>
        <w:rPr>
          <w:rFonts w:ascii="Times New Roman" w:hAnsi="Times New Roman" w:eastAsia="仿宋_GB2312" w:cs="Times New Roman"/>
          <w:b/>
          <w:bCs/>
          <w:sz w:val="32"/>
          <w:szCs w:val="32"/>
        </w:rPr>
        <w:t>是</w:t>
      </w:r>
      <w:r>
        <w:rPr>
          <w:rFonts w:ascii="Times New Roman" w:hAnsi="Times New Roman" w:eastAsia="仿宋_GB2312" w:cs="Times New Roman"/>
          <w:sz w:val="32"/>
          <w:szCs w:val="32"/>
        </w:rPr>
        <w:t>提取公积公益金。集体民主确定提取比例和数额，主要用于发展生产、转增资本、弥补亏损和集体公益事业。</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提取应付福利费，主要用于集体福利、文教、卫生、救济、成员因公伤亡的医疗费及抚恤金等福利方面的支出。</w:t>
      </w:r>
      <w:r>
        <w:rPr>
          <w:rFonts w:hint="eastAsia" w:ascii="Times New Roman" w:hAnsi="Times New Roman" w:eastAsia="仿宋_GB2312" w:cs="Times New Roman"/>
          <w:b/>
          <w:bCs/>
          <w:sz w:val="32"/>
          <w:szCs w:val="32"/>
          <w:lang w:eastAsia="zh-CN"/>
        </w:rPr>
        <w:t>三</w:t>
      </w:r>
      <w:r>
        <w:rPr>
          <w:rFonts w:ascii="Times New Roman" w:hAnsi="Times New Roman" w:eastAsia="仿宋_GB2312" w:cs="Times New Roman"/>
          <w:b/>
          <w:bCs/>
          <w:sz w:val="32"/>
          <w:szCs w:val="32"/>
        </w:rPr>
        <w:t>是</w:t>
      </w:r>
      <w:r>
        <w:rPr>
          <w:rFonts w:ascii="Times New Roman" w:hAnsi="Times New Roman" w:eastAsia="仿宋_GB2312" w:cs="Times New Roman"/>
          <w:sz w:val="32"/>
          <w:szCs w:val="32"/>
        </w:rPr>
        <w:t>向成员分配。</w:t>
      </w:r>
      <w:r>
        <w:rPr>
          <w:rFonts w:hint="eastAsia" w:ascii="Times New Roman" w:hAnsi="Times New Roman" w:eastAsia="仿宋_GB2312" w:cs="Times New Roman"/>
          <w:b/>
          <w:bCs/>
          <w:sz w:val="32"/>
          <w:szCs w:val="32"/>
          <w:lang w:eastAsia="zh-CN"/>
        </w:rPr>
        <w:t>四</w:t>
      </w:r>
      <w:r>
        <w:rPr>
          <w:rFonts w:ascii="Times New Roman" w:hAnsi="Times New Roman" w:eastAsia="仿宋_GB2312" w:cs="Times New Roman"/>
          <w:b/>
          <w:bCs/>
          <w:sz w:val="32"/>
          <w:szCs w:val="32"/>
        </w:rPr>
        <w:t>是</w:t>
      </w:r>
      <w:r>
        <w:rPr>
          <w:rFonts w:ascii="Times New Roman" w:hAnsi="Times New Roman" w:eastAsia="仿宋_GB2312" w:cs="Times New Roman"/>
          <w:sz w:val="32"/>
          <w:szCs w:val="32"/>
        </w:rPr>
        <w:t>其他分配，用于对主导产业的补贴</w:t>
      </w:r>
      <w:r>
        <w:rPr>
          <w:rFonts w:hint="eastAsia" w:ascii="Times New Roman" w:hAnsi="Times New Roman" w:eastAsia="仿宋_GB2312" w:cs="Times New Roman"/>
          <w:sz w:val="32"/>
          <w:szCs w:val="32"/>
          <w:lang w:eastAsia="zh-CN"/>
        </w:rPr>
        <w:t>和非集体经济组织成员参与分配集体收益。</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（四）收益分配的监督管理。</w:t>
      </w:r>
      <w:r>
        <w:rPr>
          <w:rFonts w:ascii="Times New Roman" w:hAnsi="Times New Roman" w:eastAsia="仿宋_GB2312" w:cs="Times New Roman"/>
          <w:sz w:val="32"/>
          <w:szCs w:val="32"/>
        </w:rPr>
        <w:t>各级部门要分工协作，首先是市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区农业农村</w:t>
      </w:r>
      <w:r>
        <w:rPr>
          <w:rFonts w:hint="eastAsia" w:ascii="Times New Roman" w:hAnsi="Times New Roman" w:eastAsia="仿宋_GB2312" w:cs="Times New Roman"/>
          <w:sz w:val="32"/>
          <w:szCs w:val="32"/>
        </w:rPr>
        <w:t>主管部门</w:t>
      </w:r>
      <w:r>
        <w:rPr>
          <w:rFonts w:ascii="Times New Roman" w:hAnsi="Times New Roman" w:eastAsia="仿宋_GB2312" w:cs="Times New Roman"/>
          <w:sz w:val="32"/>
          <w:szCs w:val="32"/>
        </w:rPr>
        <w:t>要加强业务指导，不断完善农村集体经济组织收益分配办法。其次是各区农业农村</w:t>
      </w:r>
      <w:r>
        <w:rPr>
          <w:rFonts w:hint="eastAsia" w:ascii="Times New Roman" w:hAnsi="Times New Roman" w:eastAsia="仿宋_GB2312" w:cs="Times New Roman"/>
          <w:sz w:val="32"/>
          <w:szCs w:val="32"/>
        </w:rPr>
        <w:t>主管部门</w:t>
      </w:r>
      <w:r>
        <w:rPr>
          <w:rFonts w:ascii="Times New Roman" w:hAnsi="Times New Roman" w:eastAsia="仿宋_GB2312" w:cs="Times New Roman"/>
          <w:sz w:val="32"/>
          <w:szCs w:val="32"/>
        </w:rPr>
        <w:t>承担监督责任主体职责。最后是农村集体经济组织要健全完善村集体经济组织章程，建立健全相关管理制度。</w:t>
      </w:r>
    </w:p>
    <w:p>
      <w:pPr>
        <w:spacing w:line="578"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w:t>
      </w:r>
      <w:r>
        <w:rPr>
          <w:rFonts w:hint="eastAsia" w:eastAsia="黑体" w:cs="Times New Roman"/>
          <w:bCs/>
          <w:spacing w:val="-10"/>
          <w:sz w:val="32"/>
          <w:szCs w:val="32"/>
          <w:lang w:eastAsia="zh-CN"/>
        </w:rPr>
        <w:t>提请重点关注和讨论的事项</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关注两个核心问题，就是收益分配的程序和优先序。合理合规的分配程序能够保证分配方案的公平公正，进而真正提升集体股份分红给成员带来的获得感。因此本指导意见特别突出分配方案的指定和审议公示问题。</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合理的优先序能够保证集体经济进入良性发展的轨道。公积公益金和应付福利费的优先提取，能够体现集体经济持续发展动力和提供公共服务水平，</w:t>
      </w:r>
      <w:r>
        <w:rPr>
          <w:rFonts w:hint="eastAsia" w:ascii="Times New Roman" w:hAnsi="Times New Roman" w:eastAsia="仿宋_GB2312" w:cs="Times New Roman"/>
          <w:sz w:val="32"/>
          <w:szCs w:val="32"/>
          <w:lang w:eastAsia="zh-CN"/>
        </w:rPr>
        <w:t>向</w:t>
      </w:r>
      <w:r>
        <w:rPr>
          <w:rFonts w:ascii="Times New Roman" w:hAnsi="Times New Roman" w:eastAsia="仿宋_GB2312" w:cs="Times New Roman"/>
          <w:sz w:val="32"/>
          <w:szCs w:val="32"/>
        </w:rPr>
        <w:t>成员分配则是体现收益共享以及兼顾各方利益的特征。</w:t>
      </w:r>
    </w:p>
    <w:p>
      <w:pPr>
        <w:spacing w:line="578" w:lineRule="exact"/>
        <w:ind w:firstLine="640" w:firstLineChars="200"/>
        <w:rPr>
          <w:rFonts w:hint="eastAsia" w:ascii="黑体" w:hAnsi="黑体" w:eastAsia="黑体" w:cs="黑体"/>
          <w:sz w:val="32"/>
          <w:szCs w:val="32"/>
          <w:lang w:val="en"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MingLiU">
    <w:altName w:val="宋体"/>
    <w:panose1 w:val="02020509000000000000"/>
    <w:charset w:val="88"/>
    <w:family w:val="modern"/>
    <w:pitch w:val="default"/>
    <w:sig w:usb0="00000000" w:usb1="00000000" w:usb2="00000016" w:usb3="00000000" w:csb0="0010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EF"/>
    <w:rsid w:val="00005F43"/>
    <w:rsid w:val="00016BEF"/>
    <w:rsid w:val="000268B2"/>
    <w:rsid w:val="0003298D"/>
    <w:rsid w:val="0007702E"/>
    <w:rsid w:val="000918C5"/>
    <w:rsid w:val="000D37BB"/>
    <w:rsid w:val="000D6E55"/>
    <w:rsid w:val="00111289"/>
    <w:rsid w:val="00112FC5"/>
    <w:rsid w:val="00147F12"/>
    <w:rsid w:val="00154799"/>
    <w:rsid w:val="00160F6E"/>
    <w:rsid w:val="001B09B0"/>
    <w:rsid w:val="00232DBF"/>
    <w:rsid w:val="002379F8"/>
    <w:rsid w:val="002538ED"/>
    <w:rsid w:val="002A3E50"/>
    <w:rsid w:val="002C1E58"/>
    <w:rsid w:val="002C51EF"/>
    <w:rsid w:val="002F22EF"/>
    <w:rsid w:val="002F793A"/>
    <w:rsid w:val="0031669B"/>
    <w:rsid w:val="00326A29"/>
    <w:rsid w:val="00334950"/>
    <w:rsid w:val="0035753E"/>
    <w:rsid w:val="003608B0"/>
    <w:rsid w:val="00367C3E"/>
    <w:rsid w:val="0038089C"/>
    <w:rsid w:val="003A63C2"/>
    <w:rsid w:val="003C7B2A"/>
    <w:rsid w:val="003E3A13"/>
    <w:rsid w:val="004130C9"/>
    <w:rsid w:val="00426CF1"/>
    <w:rsid w:val="00444E93"/>
    <w:rsid w:val="004A52E0"/>
    <w:rsid w:val="004C357B"/>
    <w:rsid w:val="00501C12"/>
    <w:rsid w:val="00502E0B"/>
    <w:rsid w:val="005039C2"/>
    <w:rsid w:val="00512934"/>
    <w:rsid w:val="005345FD"/>
    <w:rsid w:val="00535356"/>
    <w:rsid w:val="00537DDF"/>
    <w:rsid w:val="00553775"/>
    <w:rsid w:val="005832E4"/>
    <w:rsid w:val="005C68FE"/>
    <w:rsid w:val="005D64AE"/>
    <w:rsid w:val="006347DC"/>
    <w:rsid w:val="0065492E"/>
    <w:rsid w:val="00692C85"/>
    <w:rsid w:val="006A46E1"/>
    <w:rsid w:val="006B05B8"/>
    <w:rsid w:val="00705BB2"/>
    <w:rsid w:val="00735154"/>
    <w:rsid w:val="0077203A"/>
    <w:rsid w:val="00774C47"/>
    <w:rsid w:val="00783C44"/>
    <w:rsid w:val="00792903"/>
    <w:rsid w:val="007B1FFC"/>
    <w:rsid w:val="00816297"/>
    <w:rsid w:val="00837FB9"/>
    <w:rsid w:val="008C5012"/>
    <w:rsid w:val="008C5CDC"/>
    <w:rsid w:val="008F2843"/>
    <w:rsid w:val="008F485D"/>
    <w:rsid w:val="008F7F91"/>
    <w:rsid w:val="00904FC4"/>
    <w:rsid w:val="00924E1F"/>
    <w:rsid w:val="009538DE"/>
    <w:rsid w:val="00954D9D"/>
    <w:rsid w:val="00A32F96"/>
    <w:rsid w:val="00A33058"/>
    <w:rsid w:val="00A37EA8"/>
    <w:rsid w:val="00A427D3"/>
    <w:rsid w:val="00A509FD"/>
    <w:rsid w:val="00A667BB"/>
    <w:rsid w:val="00A84DB7"/>
    <w:rsid w:val="00A96B5F"/>
    <w:rsid w:val="00AB6976"/>
    <w:rsid w:val="00AC09D0"/>
    <w:rsid w:val="00AD0FFD"/>
    <w:rsid w:val="00B116B3"/>
    <w:rsid w:val="00B4336B"/>
    <w:rsid w:val="00B611DD"/>
    <w:rsid w:val="00B80430"/>
    <w:rsid w:val="00BC6796"/>
    <w:rsid w:val="00BC6CEC"/>
    <w:rsid w:val="00BE6484"/>
    <w:rsid w:val="00C02BDF"/>
    <w:rsid w:val="00C07CFF"/>
    <w:rsid w:val="00C41125"/>
    <w:rsid w:val="00C512EE"/>
    <w:rsid w:val="00C979AC"/>
    <w:rsid w:val="00CA67F9"/>
    <w:rsid w:val="00CC359D"/>
    <w:rsid w:val="00D05BAC"/>
    <w:rsid w:val="00D14DE5"/>
    <w:rsid w:val="00D20DD2"/>
    <w:rsid w:val="00D40B35"/>
    <w:rsid w:val="00D9231B"/>
    <w:rsid w:val="00D96D29"/>
    <w:rsid w:val="00DD23BD"/>
    <w:rsid w:val="00DD6A9F"/>
    <w:rsid w:val="00DD7D76"/>
    <w:rsid w:val="00DE3A9C"/>
    <w:rsid w:val="00E62312"/>
    <w:rsid w:val="00E74D5A"/>
    <w:rsid w:val="00E9643F"/>
    <w:rsid w:val="00EA7095"/>
    <w:rsid w:val="00ED0E36"/>
    <w:rsid w:val="00F45183"/>
    <w:rsid w:val="00F63731"/>
    <w:rsid w:val="00FA2883"/>
    <w:rsid w:val="00FF4D4C"/>
    <w:rsid w:val="1D760B89"/>
    <w:rsid w:val="3EE55F22"/>
    <w:rsid w:val="3FFF0E6D"/>
    <w:rsid w:val="56F50963"/>
    <w:rsid w:val="5DFF6457"/>
    <w:rsid w:val="5FB7308F"/>
    <w:rsid w:val="6CDF53FC"/>
    <w:rsid w:val="6FFDD74D"/>
    <w:rsid w:val="73AF6106"/>
    <w:rsid w:val="7D97DF08"/>
    <w:rsid w:val="7DBF7C8C"/>
    <w:rsid w:val="7EDEB7FB"/>
    <w:rsid w:val="7FA79597"/>
    <w:rsid w:val="7FBFDDCF"/>
    <w:rsid w:val="A77EF054"/>
    <w:rsid w:val="A9FFF3B4"/>
    <w:rsid w:val="B3BB0861"/>
    <w:rsid w:val="BDB56AF3"/>
    <w:rsid w:val="CBFFDA1A"/>
    <w:rsid w:val="DDF9C909"/>
    <w:rsid w:val="E2D68ED6"/>
    <w:rsid w:val="F1FFC0BB"/>
    <w:rsid w:val="F89E14A7"/>
    <w:rsid w:val="FDE6A932"/>
    <w:rsid w:val="FDF31AB2"/>
    <w:rsid w:val="FFBF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不明显强调1"/>
    <w:basedOn w:val="7"/>
    <w:qFormat/>
    <w:uiPriority w:val="19"/>
    <w:rPr>
      <w:i/>
      <w:iCs/>
      <w:color w:val="808080" w:themeColor="text1" w:themeTint="80"/>
      <w14:textFill>
        <w14:solidFill>
          <w14:schemeClr w14:val="tx1">
            <w14:lumMod w14:val="50000"/>
            <w14:lumOff w14:val="50000"/>
          </w14:schemeClr>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1 Char"/>
    <w:basedOn w:val="7"/>
    <w:link w:val="3"/>
    <w:qFormat/>
    <w:uiPriority w:val="9"/>
    <w:rPr>
      <w:b/>
      <w:bCs/>
      <w:kern w:val="44"/>
      <w:sz w:val="44"/>
      <w:szCs w:val="44"/>
    </w:rPr>
  </w:style>
  <w:style w:type="paragraph" w:customStyle="1" w:styleId="12">
    <w:name w:val="Picture caption|1"/>
    <w:basedOn w:val="1"/>
    <w:qFormat/>
    <w:uiPriority w:val="0"/>
    <w:pPr>
      <w:spacing w:line="216" w:lineRule="exact"/>
      <w:jc w:val="left"/>
    </w:pPr>
    <w:rPr>
      <w:rFonts w:ascii="MingLiU" w:hAnsi="MingLiU" w:eastAsia="MingLiU" w:cs="Times New Roman"/>
      <w:color w:val="323232"/>
      <w:kern w:val="0"/>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277</Words>
  <Characters>1580</Characters>
  <Lines>13</Lines>
  <Paragraphs>3</Paragraphs>
  <TotalTime>0</TotalTime>
  <ScaleCrop>false</ScaleCrop>
  <LinksUpToDate>false</LinksUpToDate>
  <CharactersWithSpaces>1854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2021-10-18T10:20:00Z</dcterms:created>
  <dc:creator>lenovo</dc:creator>
  <cp:lastModifiedBy>uos</cp:lastModifiedBy>
  <dcterms:modified xsi:type="dcterms:W3CDTF">2026-01-12T10:49:31Z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