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val="0"/>
        <w:shd w:val="clear" w:color="auto" w:fill="auto"/>
        <w:tabs>
          <w:tab w:val="left" w:pos="1587"/>
        </w:tabs>
        <w:kinsoku/>
        <w:wordWrap/>
        <w:overflowPunct/>
        <w:topLinePunct w:val="0"/>
        <w:autoSpaceDE/>
        <w:autoSpaceDN/>
        <w:bidi w:val="0"/>
        <w:adjustRightInd/>
        <w:snapToGrid/>
        <w:spacing w:before="0" w:after="0" w:line="590" w:lineRule="exact"/>
        <w:ind w:left="0" w:leftChars="0" w:right="0" w:firstLine="0" w:firstLineChars="0"/>
        <w:jc w:val="both"/>
        <w:textAlignment w:val="auto"/>
        <w:rPr>
          <w:rFonts w:hint="eastAsia" w:ascii="黑体" w:hAnsi="黑体" w:eastAsia="黑体" w:cs="黑体"/>
          <w:color w:val="auto"/>
          <w:sz w:val="32"/>
          <w:szCs w:val="32"/>
          <w:highlight w:val="none"/>
          <w:lang w:val="en-US" w:eastAsia="zh-CN"/>
        </w:rPr>
      </w:pPr>
      <w:bookmarkStart w:id="0" w:name="_GoBack"/>
      <w:bookmarkEnd w:id="0"/>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w:t>
      </w:r>
    </w:p>
    <w:p>
      <w:pPr>
        <w:pStyle w:val="6"/>
        <w:keepNext w:val="0"/>
        <w:keepLines w:val="0"/>
        <w:pageBreakBefore w:val="0"/>
        <w:widowControl w:val="0"/>
        <w:shd w:val="clear" w:color="auto" w:fill="auto"/>
        <w:tabs>
          <w:tab w:val="left" w:pos="1587"/>
        </w:tabs>
        <w:kinsoku/>
        <w:wordWrap/>
        <w:overflowPunct/>
        <w:topLinePunct w:val="0"/>
        <w:autoSpaceDE/>
        <w:autoSpaceDN/>
        <w:bidi w:val="0"/>
        <w:adjustRightInd/>
        <w:snapToGrid/>
        <w:spacing w:before="157" w:beforeLines="50" w:after="157" w:afterLines="50" w:line="590" w:lineRule="exact"/>
        <w:ind w:left="0" w:leftChars="0" w:right="0" w:firstLine="0" w:firstLineChars="0"/>
        <w:jc w:val="center"/>
        <w:textAlignment w:val="auto"/>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eastAsia="zh-CN"/>
        </w:rPr>
        <w:t>农业种质资源圃（库、场、区）确定条件</w:t>
      </w:r>
    </w:p>
    <w:p>
      <w:pPr>
        <w:pStyle w:val="6"/>
        <w:keepNext w:val="0"/>
        <w:keepLines w:val="0"/>
        <w:pageBreakBefore w:val="0"/>
        <w:widowControl w:val="0"/>
        <w:shd w:val="clear" w:color="auto" w:fill="auto"/>
        <w:tabs>
          <w:tab w:val="left" w:pos="1587"/>
        </w:tabs>
        <w:kinsoku/>
        <w:wordWrap/>
        <w:overflowPunct/>
        <w:topLinePunct w:val="0"/>
        <w:autoSpaceDE/>
        <w:autoSpaceDN/>
        <w:bidi w:val="0"/>
        <w:adjustRightInd/>
        <w:snapToGrid/>
        <w:spacing w:before="0" w:beforeLines="0" w:after="0" w:afterLines="0" w:line="580" w:lineRule="exact"/>
        <w:ind w:left="0" w:leftChars="0" w:right="0" w:firstLine="640" w:firstLineChars="200"/>
        <w:jc w:val="both"/>
        <w:textAlignment w:val="auto"/>
        <w:rPr>
          <w:rFonts w:hint="eastAsia" w:ascii="楷体" w:hAnsi="楷体" w:eastAsia="楷体" w:cs="楷体"/>
          <w:color w:val="auto"/>
          <w:sz w:val="32"/>
          <w:szCs w:val="32"/>
          <w:highlight w:val="none"/>
          <w:lang w:eastAsia="zh-CN"/>
        </w:rPr>
      </w:pPr>
      <w:r>
        <w:rPr>
          <w:rFonts w:hint="eastAsia" w:ascii="楷体" w:hAnsi="楷体" w:eastAsia="楷体" w:cs="楷体"/>
          <w:color w:val="auto"/>
          <w:sz w:val="32"/>
          <w:szCs w:val="32"/>
          <w:highlight w:val="none"/>
          <w:lang w:eastAsia="zh-CN"/>
        </w:rPr>
        <w:t>一、省级农作物种质资源库（圃）</w:t>
      </w:r>
    </w:p>
    <w:p>
      <w:pPr>
        <w:pStyle w:val="6"/>
        <w:keepNext w:val="0"/>
        <w:keepLines w:val="0"/>
        <w:pageBreakBefore w:val="0"/>
        <w:widowControl w:val="0"/>
        <w:shd w:val="clear" w:color="auto" w:fill="auto"/>
        <w:tabs>
          <w:tab w:val="left" w:pos="1587"/>
        </w:tabs>
        <w:kinsoku/>
        <w:wordWrap/>
        <w:overflowPunct/>
        <w:topLinePunct w:val="0"/>
        <w:autoSpaceDE/>
        <w:autoSpaceDN/>
        <w:bidi w:val="0"/>
        <w:adjustRightInd/>
        <w:snapToGrid/>
        <w:spacing w:before="0" w:beforeLines="0" w:after="0" w:afterLines="0" w:line="580" w:lineRule="exact"/>
        <w:ind w:left="0" w:leftChars="0" w:right="0" w:firstLine="640"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（一）</w:t>
      </w:r>
      <w:r>
        <w:rPr>
          <w:rFonts w:hint="eastAsia" w:ascii="仿宋" w:hAnsi="仿宋" w:eastAsia="仿宋" w:cs="仿宋"/>
          <w:color w:val="auto"/>
          <w:sz w:val="32"/>
          <w:szCs w:val="32"/>
          <w:highlight w:val="none"/>
          <w:lang w:eastAsia="zh-CN"/>
        </w:rPr>
        <w:t>具有长期、固定、安全的农业种质资源保存及完善的资源鉴定评价场地、设施和设备。</w:t>
      </w:r>
    </w:p>
    <w:p>
      <w:pPr>
        <w:pStyle w:val="6"/>
        <w:keepNext w:val="0"/>
        <w:keepLines w:val="0"/>
        <w:pageBreakBefore w:val="0"/>
        <w:widowControl w:val="0"/>
        <w:shd w:val="clear" w:color="auto" w:fill="auto"/>
        <w:tabs>
          <w:tab w:val="left" w:pos="1587"/>
        </w:tabs>
        <w:kinsoku/>
        <w:wordWrap/>
        <w:overflowPunct/>
        <w:topLinePunct w:val="0"/>
        <w:autoSpaceDE/>
        <w:autoSpaceDN/>
        <w:bidi w:val="0"/>
        <w:adjustRightInd/>
        <w:snapToGrid/>
        <w:spacing w:before="0" w:beforeLines="0" w:after="0" w:afterLines="0" w:line="580" w:lineRule="exact"/>
        <w:ind w:left="0" w:leftChars="0" w:right="0" w:firstLine="640"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（二）</w:t>
      </w:r>
      <w:r>
        <w:rPr>
          <w:rFonts w:hint="eastAsia" w:ascii="仿宋" w:hAnsi="仿宋" w:eastAsia="仿宋" w:cs="仿宋"/>
          <w:color w:val="auto"/>
          <w:sz w:val="32"/>
          <w:szCs w:val="32"/>
          <w:highlight w:val="none"/>
          <w:lang w:eastAsia="zh-CN"/>
        </w:rPr>
        <w:t>保存能力要求：种质资源库应具有5000份以上种质资源保存能力，且保存与其他种质资源库非重复编目种质资源不少于已保存种质资源总量的70%，保存总量不少于1000份；</w:t>
      </w:r>
    </w:p>
    <w:p>
      <w:pPr>
        <w:pStyle w:val="6"/>
        <w:keepNext w:val="0"/>
        <w:keepLines w:val="0"/>
        <w:pageBreakBefore w:val="0"/>
        <w:widowControl w:val="0"/>
        <w:shd w:val="clear" w:color="auto" w:fill="auto"/>
        <w:tabs>
          <w:tab w:val="left" w:pos="1587"/>
        </w:tabs>
        <w:kinsoku/>
        <w:wordWrap/>
        <w:overflowPunct/>
        <w:topLinePunct w:val="0"/>
        <w:autoSpaceDE/>
        <w:autoSpaceDN/>
        <w:bidi w:val="0"/>
        <w:adjustRightInd/>
        <w:snapToGrid/>
        <w:spacing w:before="0" w:beforeLines="0" w:after="0" w:afterLines="0" w:line="580" w:lineRule="exact"/>
        <w:ind w:left="0" w:leftChars="0" w:right="0" w:firstLine="640"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种质资源圃应具有300份以上种质资源保存能力，且保存与其他种质资源圃非重复编目种质资源不少于已保存种质资源总量的70%，保存总量不少于100份；</w:t>
      </w:r>
    </w:p>
    <w:p>
      <w:pPr>
        <w:pStyle w:val="6"/>
        <w:keepNext w:val="0"/>
        <w:keepLines w:val="0"/>
        <w:pageBreakBefore w:val="0"/>
        <w:widowControl w:val="0"/>
        <w:shd w:val="clear" w:color="auto" w:fill="auto"/>
        <w:tabs>
          <w:tab w:val="left" w:pos="1587"/>
        </w:tabs>
        <w:kinsoku/>
        <w:wordWrap/>
        <w:overflowPunct/>
        <w:topLinePunct w:val="0"/>
        <w:autoSpaceDE/>
        <w:autoSpaceDN/>
        <w:bidi w:val="0"/>
        <w:adjustRightInd/>
        <w:snapToGrid/>
        <w:spacing w:before="0" w:beforeLines="0" w:after="0" w:afterLines="0" w:line="580" w:lineRule="exact"/>
        <w:ind w:left="0" w:leftChars="0" w:right="0" w:firstLine="640"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试管苗库应具有2000份（每份10管）以上种质资源保存能力，且保存总量不少于500份。</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0" w:beforeLines="0" w:after="0" w:afterLines="0" w:line="580" w:lineRule="exact"/>
        <w:ind w:left="0" w:leftChars="0" w:right="0" w:firstLine="640"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（三）</w:t>
      </w:r>
      <w:r>
        <w:rPr>
          <w:rFonts w:hint="eastAsia" w:ascii="仿宋" w:hAnsi="仿宋" w:eastAsia="仿宋" w:cs="仿宋"/>
          <w:color w:val="auto"/>
          <w:sz w:val="32"/>
          <w:szCs w:val="32"/>
          <w:highlight w:val="none"/>
          <w:lang w:eastAsia="zh-CN"/>
        </w:rPr>
        <w:t>具有5人（含）以上从事农业种质资源研究及管理的团队，有明确的岗位职责以及相应的保障条件。</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0" w:beforeLines="0" w:after="0" w:afterLines="0" w:line="580" w:lineRule="exact"/>
        <w:ind w:left="0" w:leftChars="0" w:right="0" w:firstLine="640"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（四）</w:t>
      </w:r>
      <w:r>
        <w:rPr>
          <w:rFonts w:hint="eastAsia" w:ascii="仿宋" w:hAnsi="仿宋" w:eastAsia="仿宋" w:cs="仿宋"/>
          <w:color w:val="auto"/>
          <w:sz w:val="32"/>
          <w:szCs w:val="32"/>
          <w:highlight w:val="none"/>
          <w:lang w:eastAsia="zh-CN"/>
        </w:rPr>
        <w:t>具备开展农业种质资源收集、整理、鉴定、登记、保存、交流、利用等活动的工作能力。</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0" w:beforeLines="0" w:after="0" w:afterLines="0" w:line="580" w:lineRule="exact"/>
        <w:ind w:left="0" w:leftChars="0" w:right="0" w:firstLine="640"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（五）</w:t>
      </w:r>
      <w:r>
        <w:rPr>
          <w:rFonts w:hint="eastAsia" w:ascii="仿宋" w:hAnsi="仿宋" w:eastAsia="仿宋" w:cs="仿宋"/>
          <w:color w:val="auto"/>
          <w:sz w:val="32"/>
          <w:szCs w:val="32"/>
          <w:highlight w:val="none"/>
          <w:lang w:eastAsia="zh-CN"/>
        </w:rPr>
        <w:t>具有质量控制、种质资源出入库、数据档案、安全运行、重大突发性事件应急预案等管理制度和保存、鉴定等技术规范。</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0" w:beforeLines="0" w:after="0" w:afterLines="0" w:line="580" w:lineRule="exact"/>
        <w:ind w:left="0" w:leftChars="0" w:right="0" w:firstLine="640"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（六）</w:t>
      </w:r>
      <w:r>
        <w:rPr>
          <w:rFonts w:hint="eastAsia" w:ascii="仿宋" w:hAnsi="仿宋" w:eastAsia="仿宋" w:cs="仿宋"/>
          <w:color w:val="auto"/>
          <w:sz w:val="32"/>
          <w:szCs w:val="32"/>
          <w:highlight w:val="none"/>
          <w:lang w:eastAsia="zh-CN"/>
        </w:rPr>
        <w:t>依托单位应当为保护工作正常开展提供持续稳定的运行保障。</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0" w:beforeLines="0" w:after="0" w:afterLines="0" w:line="580" w:lineRule="exact"/>
        <w:ind w:left="0" w:leftChars="0" w:right="0" w:firstLine="640"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（七）</w:t>
      </w:r>
      <w:r>
        <w:rPr>
          <w:rFonts w:hint="eastAsia" w:ascii="仿宋" w:hAnsi="仿宋" w:eastAsia="仿宋" w:cs="仿宋"/>
          <w:color w:val="auto"/>
          <w:sz w:val="32"/>
          <w:szCs w:val="32"/>
          <w:highlight w:val="none"/>
          <w:lang w:eastAsia="zh-CN"/>
        </w:rPr>
        <w:t>符合国家和海南省规定的其他条件。</w:t>
      </w:r>
    </w:p>
    <w:p>
      <w:pPr>
        <w:pStyle w:val="6"/>
        <w:keepNext w:val="0"/>
        <w:keepLines w:val="0"/>
        <w:pageBreakBefore w:val="0"/>
        <w:widowControl w:val="0"/>
        <w:shd w:val="clear" w:color="auto" w:fill="auto"/>
        <w:tabs>
          <w:tab w:val="left" w:pos="1587"/>
        </w:tabs>
        <w:kinsoku/>
        <w:wordWrap/>
        <w:overflowPunct/>
        <w:topLinePunct w:val="0"/>
        <w:autoSpaceDE/>
        <w:autoSpaceDN/>
        <w:bidi w:val="0"/>
        <w:adjustRightInd/>
        <w:snapToGrid/>
        <w:spacing w:before="0" w:beforeLines="0" w:after="0" w:afterLines="0" w:line="580" w:lineRule="exact"/>
        <w:ind w:left="0" w:leftChars="0" w:right="0" w:firstLine="640"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按照农业种质资源保护体系建设“确有必要、条件具备、规模适度、避免重复”的原则，对与省内现有国家级、省级种质资源库（圃）保护农业资源种类重复的申报材料，不予受理。</w:t>
      </w:r>
    </w:p>
    <w:p>
      <w:pPr>
        <w:pStyle w:val="6"/>
        <w:keepNext w:val="0"/>
        <w:keepLines w:val="0"/>
        <w:pageBreakBefore w:val="0"/>
        <w:widowControl w:val="0"/>
        <w:shd w:val="clear" w:color="auto" w:fill="auto"/>
        <w:tabs>
          <w:tab w:val="left" w:pos="1587"/>
        </w:tabs>
        <w:kinsoku/>
        <w:wordWrap/>
        <w:overflowPunct/>
        <w:topLinePunct w:val="0"/>
        <w:autoSpaceDE/>
        <w:autoSpaceDN/>
        <w:bidi w:val="0"/>
        <w:adjustRightInd/>
        <w:snapToGrid/>
        <w:spacing w:before="0" w:beforeLines="0" w:after="0" w:afterLines="0" w:line="580" w:lineRule="exact"/>
        <w:ind w:left="0" w:leftChars="0" w:right="0" w:firstLine="640" w:firstLineChars="200"/>
        <w:jc w:val="both"/>
        <w:textAlignment w:val="auto"/>
        <w:rPr>
          <w:rFonts w:hint="eastAsia" w:ascii="楷体" w:hAnsi="楷体" w:eastAsia="楷体" w:cs="楷体"/>
          <w:color w:val="auto"/>
          <w:sz w:val="32"/>
          <w:szCs w:val="32"/>
          <w:highlight w:val="none"/>
          <w:lang w:eastAsia="zh-CN"/>
        </w:rPr>
      </w:pPr>
      <w:r>
        <w:rPr>
          <w:rFonts w:hint="eastAsia" w:ascii="楷体" w:hAnsi="楷体" w:eastAsia="楷体" w:cs="楷体"/>
          <w:color w:val="auto"/>
          <w:sz w:val="32"/>
          <w:szCs w:val="32"/>
          <w:highlight w:val="none"/>
          <w:lang w:eastAsia="zh-CN"/>
        </w:rPr>
        <w:t>二、</w:t>
      </w:r>
      <w:r>
        <w:rPr>
          <w:rFonts w:hint="eastAsia" w:ascii="楷体" w:hAnsi="楷体" w:eastAsia="楷体" w:cs="楷体"/>
          <w:color w:val="auto"/>
          <w:sz w:val="32"/>
          <w:szCs w:val="32"/>
          <w:highlight w:val="none"/>
        </w:rPr>
        <w:t>省级</w:t>
      </w:r>
      <w:r>
        <w:rPr>
          <w:rFonts w:hint="eastAsia" w:ascii="楷体" w:hAnsi="楷体" w:eastAsia="楷体" w:cs="楷体"/>
          <w:color w:val="auto"/>
          <w:sz w:val="32"/>
          <w:szCs w:val="32"/>
          <w:highlight w:val="none"/>
          <w:lang w:val="en-US" w:eastAsia="zh-CN"/>
        </w:rPr>
        <w:t>畜禽遗传资源保种场和基因库</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Lines="0" w:afterLines="0" w:line="580" w:lineRule="exact"/>
        <w:ind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（一）</w:t>
      </w:r>
      <w:r>
        <w:rPr>
          <w:rFonts w:hint="eastAsia" w:ascii="仿宋" w:hAnsi="仿宋" w:eastAsia="仿宋" w:cs="仿宋"/>
          <w:color w:val="auto"/>
          <w:sz w:val="32"/>
          <w:szCs w:val="32"/>
          <w:highlight w:val="none"/>
          <w:lang w:eastAsia="zh-CN"/>
        </w:rPr>
        <w:t>省级畜禽遗传资源保种场应当具备下列条件：</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Lines="0" w:afterLines="0" w:line="580" w:lineRule="exact"/>
        <w:ind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lang w:eastAsia="zh-CN"/>
        </w:rPr>
        <w:t>场址在原产地或与原产地自然生态条件一致或相近的区域。</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Lines="0" w:afterLines="0" w:line="580" w:lineRule="exact"/>
        <w:ind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lang w:eastAsia="zh-CN"/>
        </w:rPr>
        <w:t>场区布局合理，生产区与办公区、生活区隔离分开。办公区设技术室、资料档案室等；生产区设置饲养繁育场地、兽医室、隔离舍等；无害化处理区设病死畜禽无害化处理设施及粪污收集处理设施设备等。防疫条件符合《中华人民共和国动物防疫法》等有关规定。</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Lines="0" w:afterLines="0" w:line="580" w:lineRule="exact"/>
        <w:ind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lang w:eastAsia="zh-CN"/>
        </w:rPr>
        <w:t>有与保种规模相适应的畜牧兽医技术人员。主管生产的技术负责人具备大专以上相关专业学历或中级以上技术职称；直接从事保种工作的技术人员需经专业技术培训，掌握畜禽遗传资源保护的基本知识和技能。</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Lines="0" w:afterLines="0" w:line="580" w:lineRule="exact"/>
        <w:ind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lang w:eastAsia="zh-CN"/>
        </w:rPr>
        <w:t>种畜禽来源清楚，符合品种特征特性，符合种用动物健康标准。</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Lines="0" w:afterLines="0" w:line="580" w:lineRule="exact"/>
        <w:ind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lang w:eastAsia="zh-CN"/>
        </w:rPr>
        <w:t>有切实可行的保种方案，包括保种原则、保种目标、保种方法、技术路线、保障措施、保种效果监测等。</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Lines="0" w:afterLines="0" w:line="580" w:lineRule="exact"/>
        <w:ind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lang w:eastAsia="zh-CN"/>
        </w:rPr>
        <w:t>有完善的管理制度和健全的饲养、繁育、免疫等技术规程，有完整的保种记录和档案资料。</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Lines="0" w:afterLines="0" w:line="580" w:lineRule="exact"/>
        <w:ind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lang w:eastAsia="zh-CN"/>
        </w:rPr>
        <w:t>在农业农村部和省农业农村厅的种畜禽管理系统进行了登记备案，并有定期更新的生产数据记录。</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Lines="0" w:afterLines="0" w:line="580" w:lineRule="exact"/>
        <w:ind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lang w:eastAsia="zh-CN"/>
        </w:rPr>
        <w:t>符合种用标准的单品种基础畜禽数量要求：</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Lines="0" w:afterLines="0" w:line="580" w:lineRule="exact"/>
        <w:ind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猪：母猪100头以上，公猪12头以上，三代之内没有血缘关系的家系数不少于6个。</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Lines="0" w:afterLines="0" w:line="580" w:lineRule="exact"/>
        <w:ind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牛、马：母畜150头（匹）以上，公畜12头（匹）以上，三代之内没有血缘关系的家系数不少于6个。</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Lines="0" w:afterLines="0" w:line="580" w:lineRule="exact"/>
        <w:ind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羊：母羊250只以上，公羊25只以上，三代之内没有血缘关系的家系数不少于6个。</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Lines="0" w:afterLines="0" w:line="580" w:lineRule="exact"/>
        <w:ind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鸡：母鸡300只以上，公鸡家系数不少于30个。</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Lines="0" w:afterLines="0" w:line="580" w:lineRule="exact"/>
        <w:ind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鸭、鹅：母禽200只以上，公禽家系数不少于30个。</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Lines="0" w:afterLines="0" w:line="580" w:lineRule="exact"/>
        <w:ind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兔：母兔300只以上，公兔60只以上，三代之内没有血缘关系的家系数不少于6个。</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Lines="0" w:afterLines="0" w:line="580" w:lineRule="exact"/>
        <w:ind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蜂：60箱以上。</w:t>
      </w:r>
    </w:p>
    <w:p>
      <w:pPr>
        <w:pStyle w:val="6"/>
        <w:keepNext w:val="0"/>
        <w:keepLines w:val="0"/>
        <w:pageBreakBefore w:val="0"/>
        <w:widowControl w:val="0"/>
        <w:numPr>
          <w:ilvl w:val="0"/>
          <w:numId w:val="0"/>
        </w:numPr>
        <w:shd w:val="clear" w:color="auto" w:fill="auto"/>
        <w:tabs>
          <w:tab w:val="left" w:pos="1587"/>
        </w:tabs>
        <w:kinsoku/>
        <w:wordWrap/>
        <w:overflowPunct/>
        <w:topLinePunct w:val="0"/>
        <w:autoSpaceDE/>
        <w:autoSpaceDN/>
        <w:bidi w:val="0"/>
        <w:adjustRightInd/>
        <w:snapToGrid/>
        <w:spacing w:beforeLines="0" w:afterLines="0" w:line="580" w:lineRule="exact"/>
        <w:ind w:firstLineChars="20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濒危或濒临灭绝的抢救性保护畜禽品种基础种群数量要求由海南省畜禽遗传资源委员会根据保种实际需要确定。</w:t>
      </w:r>
    </w:p>
    <w:p>
      <w:pPr>
        <w:pStyle w:val="3"/>
        <w:keepNext w:val="0"/>
        <w:keepLines w:val="0"/>
        <w:pageBreakBefore w:val="0"/>
        <w:widowControl/>
        <w:suppressLineNumbers w:val="0"/>
        <w:kinsoku/>
        <w:wordWrap/>
        <w:overflowPunct/>
        <w:topLinePunct w:val="0"/>
        <w:autoSpaceDE/>
        <w:autoSpaceDN/>
        <w:bidi w:val="0"/>
        <w:adjustRightInd/>
        <w:snapToGrid/>
        <w:spacing w:beforeLines="0" w:afterLines="0" w:line="580" w:lineRule="exact"/>
        <w:ind w:firstLine="640" w:firstLineChars="200"/>
        <w:jc w:val="both"/>
        <w:textAlignment w:val="auto"/>
        <w:rPr>
          <w:rFonts w:ascii="仿宋" w:hAnsi="仿宋" w:eastAsia="仿宋" w:cs="仿宋"/>
          <w:b w:val="0"/>
          <w:bCs w:val="0"/>
          <w:color w:val="000000"/>
          <w:sz w:val="32"/>
          <w:szCs w:val="32"/>
        </w:rPr>
      </w:pPr>
      <w:r>
        <w:rPr>
          <w:rFonts w:hint="eastAsia" w:ascii="仿宋" w:hAnsi="仿宋" w:eastAsia="仿宋" w:cs="仿宋"/>
          <w:b w:val="0"/>
          <w:bCs w:val="0"/>
          <w:color w:val="000000"/>
          <w:sz w:val="32"/>
          <w:szCs w:val="32"/>
          <w:lang w:val="en-US" w:eastAsia="zh-CN"/>
        </w:rPr>
        <w:t>（二）</w:t>
      </w:r>
      <w:r>
        <w:rPr>
          <w:rFonts w:ascii="仿宋" w:hAnsi="仿宋" w:eastAsia="仿宋" w:cs="仿宋"/>
          <w:b w:val="0"/>
          <w:bCs w:val="0"/>
          <w:color w:val="000000"/>
          <w:sz w:val="32"/>
          <w:szCs w:val="32"/>
        </w:rPr>
        <w:t>省级畜禽遗传资源基因库应当具备下列条件：</w:t>
      </w:r>
    </w:p>
    <w:p>
      <w:pPr>
        <w:pStyle w:val="3"/>
        <w:keepNext w:val="0"/>
        <w:keepLines w:val="0"/>
        <w:pageBreakBefore w:val="0"/>
        <w:widowControl/>
        <w:suppressLineNumbers w:val="0"/>
        <w:kinsoku/>
        <w:wordWrap/>
        <w:overflowPunct/>
        <w:topLinePunct w:val="0"/>
        <w:autoSpaceDE/>
        <w:autoSpaceDN/>
        <w:bidi w:val="0"/>
        <w:adjustRightInd/>
        <w:snapToGrid/>
        <w:spacing w:beforeLines="0" w:afterLines="0" w:line="580" w:lineRule="exact"/>
        <w:ind w:lef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有固定的场所。</w:t>
      </w:r>
    </w:p>
    <w:p>
      <w:pPr>
        <w:pStyle w:val="3"/>
        <w:keepNext w:val="0"/>
        <w:keepLines w:val="0"/>
        <w:pageBreakBefore w:val="0"/>
        <w:widowControl/>
        <w:suppressLineNumbers w:val="0"/>
        <w:kinsoku/>
        <w:wordWrap/>
        <w:overflowPunct/>
        <w:topLinePunct w:val="0"/>
        <w:autoSpaceDE/>
        <w:autoSpaceDN/>
        <w:bidi w:val="0"/>
        <w:adjustRightInd/>
        <w:snapToGrid/>
        <w:spacing w:beforeLines="0" w:afterLines="0" w:line="580" w:lineRule="exact"/>
        <w:ind w:lef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有遗传材料保存库、质量检测室、技术研究室、资料档案室等；有畜禽遗传材料制作、保存、检测、运输等设备；具备防疫、防火、防盗、防震等安全设施；水源、电源、液氮供应充足。</w:t>
      </w:r>
    </w:p>
    <w:p>
      <w:pPr>
        <w:pStyle w:val="3"/>
        <w:keepNext w:val="0"/>
        <w:keepLines w:val="0"/>
        <w:pageBreakBefore w:val="0"/>
        <w:widowControl/>
        <w:suppressLineNumbers w:val="0"/>
        <w:kinsoku/>
        <w:wordWrap/>
        <w:overflowPunct/>
        <w:topLinePunct w:val="0"/>
        <w:autoSpaceDE/>
        <w:autoSpaceDN/>
        <w:bidi w:val="0"/>
        <w:adjustRightInd/>
        <w:snapToGrid/>
        <w:spacing w:beforeLines="0" w:afterLines="0" w:line="580" w:lineRule="exact"/>
        <w:ind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有从事遗传资源保护工作的专职技术人员。专业技术人员比例不低于70%；从事畜禽遗传材料制作和检测工作的技术人员需经专业技术培训。</w:t>
      </w:r>
    </w:p>
    <w:p>
      <w:pPr>
        <w:pStyle w:val="3"/>
        <w:keepNext w:val="0"/>
        <w:keepLines w:val="0"/>
        <w:pageBreakBefore w:val="0"/>
        <w:widowControl/>
        <w:suppressLineNumbers w:val="0"/>
        <w:kinsoku/>
        <w:wordWrap/>
        <w:overflowPunct/>
        <w:topLinePunct w:val="0"/>
        <w:autoSpaceDE/>
        <w:autoSpaceDN/>
        <w:bidi w:val="0"/>
        <w:adjustRightInd/>
        <w:snapToGrid/>
        <w:spacing w:beforeLines="0" w:afterLines="0" w:line="580" w:lineRule="exact"/>
        <w:ind w:firstLine="640" w:firstLineChars="200"/>
        <w:jc w:val="both"/>
        <w:textAlignment w:val="auto"/>
        <w:rPr>
          <w:sz w:val="32"/>
          <w:szCs w:val="32"/>
        </w:rPr>
      </w:pP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有相应的保种计划和质量管理体系、出入库管理、安全管理、消毒防疫、重大突发事件应急预案等制度，以及遗传材料制作、保存和质量检测技术规程；有完整系统的技术档案资料。定期对遗传材料进行更新，清晰记录遗传材料更新情况。</w:t>
      </w:r>
    </w:p>
    <w:p>
      <w:pPr>
        <w:pStyle w:val="3"/>
        <w:keepNext w:val="0"/>
        <w:keepLines w:val="0"/>
        <w:pageBreakBefore w:val="0"/>
        <w:widowControl/>
        <w:suppressLineNumbers w:val="0"/>
        <w:kinsoku/>
        <w:wordWrap/>
        <w:overflowPunct/>
        <w:topLinePunct w:val="0"/>
        <w:autoSpaceDE/>
        <w:autoSpaceDN/>
        <w:bidi w:val="0"/>
        <w:adjustRightInd/>
        <w:snapToGrid/>
        <w:spacing w:beforeLines="0" w:afterLines="0" w:line="580" w:lineRule="exact"/>
        <w:ind w:left="0" w:firstLine="640"/>
        <w:jc w:val="both"/>
        <w:textAlignment w:val="auto"/>
        <w:rPr>
          <w:sz w:val="32"/>
          <w:szCs w:val="32"/>
        </w:rPr>
      </w:pP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保存列入《海南省畜禽遗传资源保护名录》的地方品种（类群）数量6个以上（含）。</w:t>
      </w:r>
    </w:p>
    <w:p>
      <w:pPr>
        <w:pStyle w:val="3"/>
        <w:keepNext w:val="0"/>
        <w:keepLines w:val="0"/>
        <w:pageBreakBefore w:val="0"/>
        <w:widowControl/>
        <w:suppressLineNumbers w:val="0"/>
        <w:kinsoku/>
        <w:wordWrap/>
        <w:overflowPunct/>
        <w:topLinePunct w:val="0"/>
        <w:autoSpaceDE/>
        <w:autoSpaceDN/>
        <w:bidi w:val="0"/>
        <w:adjustRightInd/>
        <w:snapToGrid/>
        <w:spacing w:beforeLines="0" w:afterLines="0" w:line="580" w:lineRule="exact"/>
        <w:ind w:left="0" w:firstLine="640"/>
        <w:jc w:val="both"/>
        <w:textAlignment w:val="auto"/>
        <w:rPr>
          <w:sz w:val="32"/>
          <w:szCs w:val="32"/>
        </w:rPr>
      </w:pP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保存单品种遗传材料数量和质量要求：</w:t>
      </w:r>
    </w:p>
    <w:p>
      <w:pPr>
        <w:pStyle w:val="3"/>
        <w:keepNext w:val="0"/>
        <w:keepLines w:val="0"/>
        <w:pageBreakBefore w:val="0"/>
        <w:widowControl/>
        <w:suppressLineNumbers w:val="0"/>
        <w:kinsoku/>
        <w:wordWrap/>
        <w:overflowPunct/>
        <w:topLinePunct w:val="0"/>
        <w:autoSpaceDE/>
        <w:autoSpaceDN/>
        <w:bidi w:val="0"/>
        <w:adjustRightInd/>
        <w:snapToGrid/>
        <w:spacing w:beforeLines="0" w:afterLines="0" w:line="580" w:lineRule="exact"/>
        <w:ind w:left="0" w:firstLine="640"/>
        <w:jc w:val="both"/>
        <w:textAlignment w:val="auto"/>
        <w:rPr>
          <w:sz w:val="32"/>
          <w:szCs w:val="32"/>
        </w:rPr>
      </w:pPr>
      <w:r>
        <w:rPr>
          <w:rFonts w:hint="eastAsia" w:ascii="仿宋" w:hAnsi="仿宋" w:eastAsia="仿宋" w:cs="仿宋"/>
          <w:color w:val="000000"/>
          <w:sz w:val="32"/>
          <w:szCs w:val="32"/>
        </w:rPr>
        <w:t>猪单品种冷冻精液数量5000剂以上；普通牛、水牛、山羊单品种冷冻精液保存3000剂以上。</w:t>
      </w:r>
    </w:p>
    <w:p>
      <w:pPr>
        <w:pStyle w:val="3"/>
        <w:keepNext w:val="0"/>
        <w:keepLines w:val="0"/>
        <w:pageBreakBefore w:val="0"/>
        <w:widowControl/>
        <w:suppressLineNumbers w:val="0"/>
        <w:kinsoku/>
        <w:wordWrap/>
        <w:overflowPunct/>
        <w:topLinePunct w:val="0"/>
        <w:autoSpaceDE/>
        <w:autoSpaceDN/>
        <w:bidi w:val="0"/>
        <w:adjustRightInd/>
        <w:snapToGrid/>
        <w:spacing w:beforeLines="0" w:afterLines="0" w:line="580" w:lineRule="exact"/>
        <w:ind w:left="0" w:firstLine="640"/>
        <w:jc w:val="both"/>
        <w:textAlignment w:val="auto"/>
        <w:rPr>
          <w:sz w:val="32"/>
          <w:szCs w:val="32"/>
        </w:rPr>
      </w:pPr>
      <w:r>
        <w:rPr>
          <w:rFonts w:hint="eastAsia" w:ascii="仿宋" w:hAnsi="仿宋" w:eastAsia="仿宋" w:cs="仿宋"/>
          <w:color w:val="000000"/>
          <w:sz w:val="32"/>
          <w:szCs w:val="32"/>
        </w:rPr>
        <w:t>普通牛、山羊单品种冷冻胚胎保存200枚以上。</w:t>
      </w:r>
    </w:p>
    <w:p>
      <w:pPr>
        <w:pStyle w:val="3"/>
        <w:keepNext w:val="0"/>
        <w:keepLines w:val="0"/>
        <w:pageBreakBefore w:val="0"/>
        <w:widowControl/>
        <w:suppressLineNumbers w:val="0"/>
        <w:kinsoku/>
        <w:wordWrap/>
        <w:overflowPunct/>
        <w:topLinePunct w:val="0"/>
        <w:autoSpaceDE/>
        <w:autoSpaceDN/>
        <w:bidi w:val="0"/>
        <w:adjustRightInd/>
        <w:snapToGrid/>
        <w:spacing w:beforeLines="0" w:afterLines="0" w:line="580" w:lineRule="exact"/>
        <w:ind w:left="0" w:firstLine="640"/>
        <w:jc w:val="both"/>
        <w:textAlignment w:val="auto"/>
        <w:rPr>
          <w:sz w:val="32"/>
          <w:szCs w:val="32"/>
        </w:rPr>
      </w:pPr>
      <w:r>
        <w:rPr>
          <w:rFonts w:hint="eastAsia" w:ascii="仿宋" w:hAnsi="仿宋" w:eastAsia="仿宋" w:cs="仿宋"/>
          <w:color w:val="000000"/>
          <w:sz w:val="32"/>
          <w:szCs w:val="32"/>
        </w:rPr>
        <w:t>家畜单品种冷冻体细胞保存500份以上，其中公畜不少于10头，母畜不少于25头。</w:t>
      </w:r>
    </w:p>
    <w:p>
      <w:pPr>
        <w:pStyle w:val="3"/>
        <w:keepNext w:val="0"/>
        <w:keepLines w:val="0"/>
        <w:pageBreakBefore w:val="0"/>
        <w:widowControl/>
        <w:suppressLineNumbers w:val="0"/>
        <w:kinsoku/>
        <w:wordWrap/>
        <w:overflowPunct/>
        <w:topLinePunct w:val="0"/>
        <w:autoSpaceDE/>
        <w:autoSpaceDN/>
        <w:bidi w:val="0"/>
        <w:adjustRightInd/>
        <w:snapToGrid/>
        <w:spacing w:beforeLines="0" w:afterLines="0" w:line="580" w:lineRule="exact"/>
        <w:ind w:left="0" w:firstLine="640"/>
        <w:jc w:val="both"/>
        <w:textAlignment w:val="auto"/>
        <w:rPr>
          <w:sz w:val="32"/>
          <w:szCs w:val="32"/>
        </w:rPr>
      </w:pPr>
      <w:r>
        <w:rPr>
          <w:rFonts w:hint="eastAsia" w:ascii="仿宋" w:hAnsi="仿宋" w:eastAsia="仿宋" w:cs="仿宋"/>
          <w:color w:val="000000"/>
          <w:sz w:val="32"/>
          <w:szCs w:val="32"/>
        </w:rPr>
        <w:t>供体畜来源于6个以上三代之内没有血缘关系的家系，符合本品种标准，系谱清楚，无传染性疾病。胚胎质量为A级，精液、体细胞质量符合国家有关标准。</w:t>
      </w:r>
    </w:p>
    <w:p>
      <w:pPr>
        <w:keepNext w:val="0"/>
        <w:keepLines w:val="0"/>
        <w:pageBreakBefore w:val="0"/>
        <w:widowControl w:val="0"/>
        <w:kinsoku/>
        <w:wordWrap/>
        <w:overflowPunct/>
        <w:topLinePunct w:val="0"/>
        <w:autoSpaceDE/>
        <w:autoSpaceDN/>
        <w:bidi w:val="0"/>
        <w:adjustRightInd/>
        <w:snapToGrid/>
        <w:ind w:firstLine="640" w:firstLineChars="200"/>
        <w:textAlignment w:val="auto"/>
      </w:pPr>
      <w:r>
        <w:rPr>
          <w:rFonts w:hint="eastAsia" w:ascii="仿宋" w:hAnsi="仿宋" w:eastAsia="仿宋" w:cs="仿宋"/>
          <w:color w:val="000000"/>
          <w:sz w:val="32"/>
          <w:szCs w:val="32"/>
        </w:rPr>
        <w:t>其他畜禽品种、濒危或濒临灭绝畜禽品种的遗传材料保存数量和质量要求，由海南省畜禽遗传资源委员会根据保种实际需要和应保尽保的原则确定。</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true"/>
  <w:bordersDoNotSurroundFooter w:val="true"/>
  <w:trackRevisions w:val="true"/>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AB0813"/>
    <w:rsid w:val="3FBBF012"/>
    <w:rsid w:val="5EFB63DD"/>
    <w:rsid w:val="6FBE7606"/>
    <w:rsid w:val="77FD0242"/>
    <w:rsid w:val="78FAE5BD"/>
    <w:rsid w:val="7EDDE507"/>
    <w:rsid w:val="D7F5A91D"/>
    <w:rsid w:val="DBFF3FB8"/>
    <w:rsid w:val="F37FDD95"/>
    <w:rsid w:val="F53F86B8"/>
    <w:rsid w:val="F9FDFA9B"/>
    <w:rsid w:val="FCFD2593"/>
    <w:rsid w:val="FEED9AA9"/>
    <w:rsid w:val="FFEF2128"/>
    <w:rsid w:val="FFFB836C"/>
    <w:rsid w:val="FFFBCF7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Body Text"/>
    <w:basedOn w:val="1"/>
    <w:next w:val="1"/>
    <w:qFormat/>
    <w:uiPriority w:val="0"/>
    <w:pPr>
      <w:spacing w:after="120" w:afterLines="0" w:afterAutospacing="0"/>
    </w:pPr>
  </w:style>
  <w:style w:type="paragraph" w:styleId="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6">
    <w:name w:val="Body text|1"/>
    <w:basedOn w:val="1"/>
    <w:qFormat/>
    <w:uiPriority w:val="0"/>
    <w:pPr>
      <w:widowControl w:val="0"/>
      <w:shd w:val="clear" w:color="auto" w:fill="auto"/>
      <w:spacing w:line="449" w:lineRule="auto"/>
      <w:ind w:firstLine="400"/>
    </w:pPr>
    <w:rPr>
      <w:rFonts w:ascii="宋体" w:hAnsi="宋体" w:eastAsia="宋体" w:cs="宋体"/>
      <w:kern w:val="0"/>
      <w:sz w:val="28"/>
      <w:szCs w:val="28"/>
      <w:u w:val="none"/>
      <w:shd w:val="clear" w:color="auto" w:fill="auto"/>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2014-10-30T20:08:00Z</dcterms:created>
  <dc:creator>Administrator</dc:creator>
  <cp:lastModifiedBy>user</cp:lastModifiedBy>
  <dcterms:modified xsi:type="dcterms:W3CDTF">2026-10-19T17:45:59Z</dcterms:modified>
  <dc:title>附件1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C789F7EA69F6B5CA898ED16A108053B0</vt:lpwstr>
  </property>
</Properties>
</file>