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80" w:after="480" w:line="288" w:lineRule="auto"/>
        <w:ind w:left="0"/>
        <w:jc w:val="left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eastAsia="zh"/>
          <w:woUserID w:val="1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附件</w:t>
      </w: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lang w:eastAsia="zh-CN"/>
          <w:woUserID w:val="1"/>
        </w:rPr>
        <w:t>1</w:t>
      </w:r>
      <w:bookmarkStart w:id="3" w:name="_GoBack"/>
      <w:bookmarkEnd w:id="3"/>
    </w:p>
    <w:p>
      <w:pPr>
        <w:spacing w:before="480" w:after="480" w:line="288" w:lineRule="auto"/>
        <w:ind w:lef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南繁科技成果推广摸排登记表</w:t>
      </w:r>
    </w:p>
    <w:p>
      <w:pPr>
        <w:numPr>
          <w:ilvl w:val="0"/>
          <w:numId w:val="1"/>
        </w:numPr>
        <w:spacing w:before="320" w:after="120" w:line="288" w:lineRule="auto"/>
        <w:jc w:val="left"/>
        <w:outlineLvl w:val="1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填报说明</w:t>
      </w:r>
    </w:p>
    <w:p>
      <w:pP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eastAsia="zh-CN"/>
        </w:rPr>
        <w:t>本表格所指南繁科技成果，是指依托海南南繁科研育种基地开展研发、试验、验证、繁育等核心工作，形成的具有自主知识产权、具备推广应用潜力的农业科技成果，包括农作物新品种、转化体技术、配套种养技术、绿色防控技术、加工技术等。</w:t>
      </w:r>
    </w:p>
    <w:p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二、填报主体基本信息</w:t>
      </w:r>
    </w:p>
    <w:tbl>
      <w:tblPr>
        <w:tblStyle w:val="4"/>
        <w:tblW w:w="85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0"/>
        <w:gridCol w:w="6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</w:tcPr>
          <w:p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u w:val="none"/>
              </w:rPr>
              <w:t>填报单位：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 xml:space="preserve">     </w:t>
            </w:r>
          </w:p>
        </w:tc>
        <w:tc>
          <w:tcPr>
            <w:tcW w:w="6351" w:type="dxa"/>
          </w:tcPr>
          <w:p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u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5" w:hRule="atLeast"/>
        </w:trPr>
        <w:tc>
          <w:tcPr>
            <w:tcW w:w="2170" w:type="dxa"/>
          </w:tcPr>
          <w:p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u w:val="none"/>
                <w:vertAlign w:val="baseline"/>
                <w:lang w:eastAsia="zh-CN"/>
              </w:rPr>
              <w:t>单位性质：</w:t>
            </w:r>
          </w:p>
        </w:tc>
        <w:tc>
          <w:tcPr>
            <w:tcW w:w="6351" w:type="dxa"/>
          </w:tcPr>
          <w:p>
            <w:pPr>
              <w:spacing w:before="120" w:after="120" w:line="288" w:lineRule="auto"/>
              <w:jc w:val="left"/>
              <w:rPr>
                <w:rFonts w:hint="default" w:ascii="仿宋_GB2312" w:hAnsi="仿宋_GB2312" w:eastAsia="仿宋_GB2312" w:cs="仿宋_GB2312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</w:tcPr>
          <w:p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u w:val="none"/>
                <w:vertAlign w:val="baseline"/>
                <w:lang w:eastAsia="zh-CN"/>
              </w:rPr>
              <w:t>填报人：</w:t>
            </w:r>
          </w:p>
        </w:tc>
        <w:tc>
          <w:tcPr>
            <w:tcW w:w="6351" w:type="dxa"/>
          </w:tcPr>
          <w:p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u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</w:tcPr>
          <w:p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联系电话：</w:t>
            </w:r>
          </w:p>
        </w:tc>
        <w:tc>
          <w:tcPr>
            <w:tcW w:w="6351" w:type="dxa"/>
          </w:tcPr>
          <w:p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u w:val="none"/>
                <w:vertAlign w:val="baseline"/>
              </w:rPr>
            </w:pPr>
          </w:p>
        </w:tc>
      </w:tr>
    </w:tbl>
    <w:p>
      <w:pP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b w:val="0"/>
          <w:bCs/>
          <w:sz w:val="36"/>
          <w:szCs w:val="36"/>
          <w:u w:val="single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vertAlign w:val="baseline"/>
          <w:lang w:eastAsia="zh-CN"/>
        </w:rPr>
        <w:t>单位性质为：科研院所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  <w:vertAlign w:val="baseline"/>
          <w:lang w:val="en-US" w:eastAsia="zh-CN"/>
        </w:rPr>
        <w:t>/高等院校/农业企业/农技推广机构/其他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6"/>
          <w:szCs w:val="36"/>
          <w:lang w:val="en-US" w:eastAsia="zh-CN"/>
        </w:rPr>
        <w:t xml:space="preserve"> </w:t>
      </w:r>
      <w:bookmarkStart w:id="0" w:name="heading_1"/>
    </w:p>
    <w:bookmarkEnd w:id="0"/>
    <w:p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三、南繁成果核心基础信息：</w:t>
      </w:r>
    </w:p>
    <w:p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</w:pPr>
      <w:bookmarkStart w:id="1" w:name="heading_2"/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（一）成果</w:t>
      </w:r>
      <w:r>
        <w:rPr>
          <w:rFonts w:hint="eastAsia" w:ascii="楷体" w:hAnsi="楷体" w:eastAsia="楷体" w:cs="楷体"/>
          <w:b w:val="0"/>
          <w:bCs/>
          <w:sz w:val="32"/>
          <w:szCs w:val="32"/>
          <w:u w:val="none"/>
          <w:lang w:val="en-US" w:eastAsia="zh-CN"/>
        </w:rPr>
        <w:t>名称：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               </w:t>
      </w:r>
    </w:p>
    <w:p>
      <w:pPr>
        <w:spacing w:before="320" w:after="120" w:line="288" w:lineRule="auto"/>
        <w:ind w:left="0"/>
        <w:jc w:val="left"/>
        <w:outlineLvl w:val="1"/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（二）核心成果类别</w:t>
      </w:r>
    </w:p>
    <w:p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1.农作物新品种（粮食、油料、杂粮等新品种）</w:t>
      </w:r>
    </w:p>
    <w:p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2.果蔬新品种（瓜果、蔬菜类优良新品种）</w:t>
      </w:r>
    </w:p>
    <w:p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3.林木花卉类新品种（林业、观赏花卉新品种）</w:t>
      </w:r>
    </w:p>
    <w:p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4.技术成果（作物种植、畜禽水产养殖配套技术）</w:t>
      </w:r>
    </w:p>
    <w:p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5.植保技术（病虫害防控、生物防治、作物种植技术、绿色防疫技术）</w:t>
      </w:r>
    </w:p>
    <w:p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6.加工技术（储存保鲜、农产品加工）</w:t>
      </w:r>
    </w:p>
    <w:p>
      <w:pPr>
        <w:spacing w:before="320" w:after="120" w:line="288" w:lineRule="auto"/>
        <w:ind w:left="0"/>
        <w:jc w:val="left"/>
        <w:outlineLvl w:val="1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7.其他（未归入以上类别的农业相关南繁科技成果）</w:t>
      </w:r>
    </w:p>
    <w:p>
      <w:pPr>
        <w:spacing w:before="320" w:after="120" w:line="288" w:lineRule="auto"/>
        <w:ind w:left="0"/>
        <w:jc w:val="left"/>
        <w:outlineLvl w:val="1"/>
        <w:rPr>
          <w:rFonts w:hint="default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该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eastAsia="zh-CN"/>
        </w:rPr>
        <w:t>南繁成果属于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eastAsia="zh-CN"/>
        </w:rPr>
        <w:t>第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项</w:t>
      </w:r>
    </w:p>
    <w:bookmarkEnd w:id="1"/>
    <w:p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（三）该成果在南繁工作中的核心属性</w:t>
      </w:r>
    </w:p>
    <w:p>
      <w:pPr>
        <w:numPr>
          <w:ilvl w:val="0"/>
          <w:numId w:val="2"/>
        </w:numPr>
        <w:spacing w:before="320" w:after="120" w:line="288" w:lineRule="auto"/>
        <w:jc w:val="left"/>
        <w:outlineLvl w:val="1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南繁加代繁育形成的新品种</w:t>
      </w:r>
    </w:p>
    <w:p>
      <w:pPr>
        <w:numPr>
          <w:ilvl w:val="0"/>
          <w:numId w:val="2"/>
        </w:numPr>
        <w:spacing w:before="320" w:after="120" w:line="288" w:lineRule="auto"/>
        <w:jc w:val="left"/>
        <w:outlineLvl w:val="1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依托南繁基地完成抗性/适应性验证的技术/品种</w:t>
      </w:r>
    </w:p>
    <w:p>
      <w:pPr>
        <w:numPr>
          <w:ilvl w:val="0"/>
          <w:numId w:val="2"/>
        </w:numPr>
        <w:spacing w:before="320" w:after="120" w:line="288" w:lineRule="auto"/>
        <w:jc w:val="left"/>
        <w:outlineLvl w:val="1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依托南繁基地开展制种/扩繁的成果</w:t>
      </w:r>
    </w:p>
    <w:p>
      <w:pPr>
        <w:numPr>
          <w:ilvl w:val="0"/>
          <w:numId w:val="2"/>
        </w:numPr>
        <w:spacing w:before="320" w:after="120" w:line="288" w:lineRule="auto"/>
        <w:jc w:val="left"/>
        <w:outlineLvl w:val="1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其他依托南繁核心能力研发的成果</w:t>
      </w:r>
    </w:p>
    <w:p>
      <w:pPr>
        <w:spacing w:before="320" w:after="120" w:line="288" w:lineRule="auto"/>
        <w:ind w:left="0"/>
        <w:jc w:val="left"/>
        <w:outlineLvl w:val="1"/>
        <w:rPr>
          <w:rFonts w:hint="default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该南繁成果属于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eastAsia="zh-CN"/>
        </w:rPr>
        <w:t>第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项</w:t>
      </w:r>
    </w:p>
    <w:p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（四）南繁基地依托情况</w:t>
      </w:r>
    </w:p>
    <w:p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>南繁基地所在地：</w:t>
      </w:r>
    </w:p>
    <w:p>
      <w:pPr>
        <w:spacing w:before="320" w:after="120" w:line="288" w:lineRule="auto"/>
        <w:ind w:left="0"/>
        <w:jc w:val="left"/>
        <w:outlineLvl w:val="1"/>
        <w:rPr>
          <w:rFonts w:hint="eastAsia" w:ascii="楷体" w:hAnsi="楷体" w:eastAsia="楷体" w:cs="楷体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  <w:u w:val="none"/>
          <w:lang w:val="en-US" w:eastAsia="zh-CN"/>
        </w:rPr>
        <w:t>（五）南繁成果成熟度</w:t>
      </w:r>
    </w:p>
    <w:p>
      <w:pPr>
        <w:numPr>
          <w:ilvl w:val="0"/>
          <w:numId w:val="0"/>
        </w:numPr>
        <w:spacing w:before="320" w:after="120" w:line="288" w:lineRule="auto"/>
        <w:ind w:leftChars="0"/>
        <w:jc w:val="left"/>
        <w:outlineLvl w:val="1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 xml:space="preserve">实验室阶段         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 xml:space="preserve">区域性实验示范阶段   </w:t>
      </w:r>
    </w:p>
    <w:p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 xml:space="preserve">中试/示范推广阶段  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>大规模试验推广应用阶段</w:t>
      </w:r>
    </w:p>
    <w:p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四、主推优势</w:t>
      </w:r>
      <w:bookmarkStart w:id="2" w:name="heading_5"/>
    </w:p>
    <w:p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1.核心技术原理（不超过300字）</w:t>
      </w:r>
    </w:p>
    <w:p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hint="default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121285</wp:posOffset>
                </wp:positionV>
                <wp:extent cx="5587365" cy="2549525"/>
                <wp:effectExtent l="4445" t="4445" r="8890" b="17780"/>
                <wp:wrapNone/>
                <wp:docPr id="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28370" y="4424680"/>
                          <a:ext cx="5587365" cy="254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32"/>
                                <w:szCs w:val="3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-4.3pt;margin-top:9.55pt;height:200.75pt;width:439.95pt;z-index:251659264;mso-width-relative:page;mso-height-relative:page;" fillcolor="#FFFFFF" filled="t" stroked="t" coordsize="21600,21600" o:gfxdata="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QzpEedkAAAAJAQAADwAAAAAAAAABACAAAAAiAAAAZHJzL2Rvd25yZXYueG1sUEsBAhQA&#10;FAAAAAgAh07iQECXnysqAgAAZwQAAA4AAAAAAAAAAQAgAAAAKAEAAGRycy9lMm9Eb2MueG1sUEsF&#10;BgAAAAAGAAYAWQEAAMQ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32"/>
                          <w:szCs w:val="3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hint="default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</w:pPr>
    </w:p>
    <w:p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</w:pPr>
    </w:p>
    <w:p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</w:pPr>
    </w:p>
    <w:p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</w:pPr>
    </w:p>
    <w:p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hint="eastAsia" w:ascii="楷体" w:hAnsi="楷体" w:eastAsia="楷体" w:cs="楷体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  <w:u w:val="none"/>
          <w:lang w:val="en-US" w:eastAsia="zh-CN"/>
        </w:rPr>
        <w:t>2.核心创新点（分点列出1-4个核心创新，明确与现有技术的核心差异）</w:t>
      </w:r>
    </w:p>
    <w:p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hint="default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 xml:space="preserve">（1）                      （2） </w:t>
      </w:r>
    </w:p>
    <w:p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hint="default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>（3）                      （4）</w:t>
      </w:r>
    </w:p>
    <w:p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hint="default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</w:t>
      </w:r>
    </w:p>
    <w:p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</w:p>
    <w:p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3.核心优势（若无可填写\）</w:t>
      </w:r>
    </w:p>
    <w:p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抗逆特性：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 xml:space="preserve">抗寒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 xml:space="preserve">抗病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 xml:space="preserve">抗高温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 xml:space="preserve">抗旱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 xml:space="preserve">耐盐碱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>其他</w:t>
      </w:r>
    </w:p>
    <w:p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该项技术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/品种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相较于传统种植模式可减少成本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元/亩、可实现增产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斤/亩、病虫害防控效率达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    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>减少化肥农业使用率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 xml:space="preserve"> 减少水肥流失率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>（能/不能）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 xml:space="preserve"> 改良土壤微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生态环境，减少连作障碍，符合绿色发展等方面。</w:t>
      </w:r>
    </w:p>
    <w:p>
      <w:pPr>
        <w:numPr>
          <w:ilvl w:val="0"/>
          <w:numId w:val="0"/>
        </w:numPr>
        <w:spacing w:before="320" w:after="120" w:line="288" w:lineRule="auto"/>
        <w:ind w:leftChars="0"/>
        <w:jc w:val="left"/>
        <w:outlineLvl w:val="1"/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4.适宜推广区域</w:t>
      </w:r>
    </w:p>
    <w:p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hint="default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 xml:space="preserve">海南全省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 xml:space="preserve">仅三亚及南部周边区域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 xml:space="preserve">华南地区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 xml:space="preserve">全国适宜区域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 xml:space="preserve">其他 </w:t>
      </w:r>
    </w:p>
    <w:p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五、</w:t>
      </w:r>
      <w:bookmarkEnd w:id="2"/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区农业农村局部门审核</w:t>
      </w:r>
    </w:p>
    <w:p>
      <w:pP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经办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人签字：</w:t>
      </w:r>
    </w:p>
    <w:p>
      <w:pP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经办人联系方式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：</w:t>
      </w:r>
    </w:p>
    <w:sectPr>
      <w:headerReference r:id="rId3" w:type="default"/>
      <w:footerReference r:id="rId4" w:type="default"/>
      <w:pgSz w:w="11905" w:h="16840"/>
      <w:pgMar w:top="2154" w:right="1531" w:bottom="2041" w:left="153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397F03"/>
    <w:multiLevelType w:val="singleLevel"/>
    <w:tmpl w:val="CC397F0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EE47240"/>
    <w:multiLevelType w:val="singleLevel"/>
    <w:tmpl w:val="5EE4724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F27C3"/>
    <w:rsid w:val="0C906D12"/>
    <w:rsid w:val="14BC20A0"/>
    <w:rsid w:val="1CCA27BF"/>
    <w:rsid w:val="21B8001E"/>
    <w:rsid w:val="395D5EB1"/>
    <w:rsid w:val="71805819"/>
    <w:rsid w:val="E9EF1B3D"/>
    <w:rsid w:val="F0FABCC8"/>
    <w:rsid w:val="FFFDFA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21</TotalTime>
  <ScaleCrop>false</ScaleCrop>
  <LinksUpToDate>false</LinksUpToDate>
  <Application>WPS Office WWO_wpscloud_20240305111834-b523323eda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2026-07-25T08:44:00Z</dcterms:created>
  <dc:creator>Apache POI</dc:creator>
  <cp:lastModifiedBy>谭兴欣</cp:lastModifiedBy>
  <cp:lastPrinted>2026-07-29T01:20:00Z</cp:lastPrinted>
  <dcterms:modified xsi:type="dcterms:W3CDTF">2026-07-30T11:52:41Z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{"Label":"1","ContentProducer":"001191110102MACQD9K64010000","ProduceID":"7666012684659657681","ReservedCode1":"","ContentPropagator":"","PropagateID":"","ReservedCode2":""}</vt:lpwstr>
  </property>
  <property fmtid="{D5CDD505-2E9C-101B-9397-08002B2CF9AE}" pid="3" name="KSOProductBuildVer">
    <vt:lpwstr>2052-0.0.0.0</vt:lpwstr>
  </property>
</Properties>
</file>