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修订说明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政府的正确领导下，在有关部门共同努力下，我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农业产业化重点龙头企业得到了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的发展。目前，我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农业产业化重点龙头企业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家，其中国家级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省级21家、市级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。它们充分发挥农业产业化重点龙头企业的辐射带动作用，促进了农业增效、农民增收，推动了农业产业化的发展，为我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农业发展做出了应有的贡献。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为做好海南建设自贸港新形势下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农业产业化重点龙头企业的申报、运行监测和管理工作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修订形成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《三亚市农业产业化重点龙头企业认定和运行监测管理暂行办法（2024年修订稿）》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（以下简称《管理办法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（2024年修订稿）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》），有关情况如下。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一、起草过程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在历年开展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农业产业化龙头企业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申报认定及运行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监测工作过程中，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发现部分农业企业的资产负债率高于60%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限制了龙头企业的认定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和运行监测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基于2022年9月1日发布的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《海南省农业农村厅关于印发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海南省农业产业化重点龙头企业认定和运行监测管理办法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》（琼农规〔2022〕7号）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，已删除“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企业资产负债率一般应低于60%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”条件，为进一步鼓励更多企业申报、培育和壮大龙头企业群体，经充分调研和考虑，我局启动《三亚市农业产业化重点龙头企业认定和运行监测管理暂行办法》修订程序，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形成《管理办法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（2024年修订稿）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（2024年修订稿）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共设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章、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条，包括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070000" w:fill="auto"/>
        </w:rPr>
        <w:t>总则、申报、认定、运行监测及管理、附则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070000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三、主要特点</w:t>
      </w:r>
    </w:p>
    <w:p>
      <w:pPr>
        <w:spacing w:line="560" w:lineRule="exact"/>
        <w:ind w:firstLine="64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删除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企业资产负债率一般应低于60%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”条件。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为企业减负，增加企业申报积极性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《海南省农业农村厅关于印发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海南省农业产业化重点龙头企业认定和运行监测管理办法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》（琼农规〔2022〕7号）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删除“企业资产负债率一般应低于60%”条件。二是根据近几年企业申报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来看，“企业资产负债率一般应低于60%”条件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限制了部分龙头企业的认定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其他条款修订均根据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《海南省农业农村厅关于印发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海南省农业产业化重点龙头企业认定和运行监测管理办法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》（琼农规〔2022〕7号）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对应更改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，简化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2PddN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trackRevisions w:val="true"/>
  <w:documentProtection w:enforcement="0"/>
  <w:defaultTabStop w:val="420"/>
  <w:drawingGridHorizontalSpacing w:val="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JiZDY2MTJkODBlNGY4ZTBmZTc0YTU2Mzk3NDcifQ=="/>
  </w:docVars>
  <w:rsids>
    <w:rsidRoot w:val="00CA104E"/>
    <w:rsid w:val="001648F7"/>
    <w:rsid w:val="007E7CE9"/>
    <w:rsid w:val="009E40F1"/>
    <w:rsid w:val="00BF0D5A"/>
    <w:rsid w:val="00CA104E"/>
    <w:rsid w:val="00DE6429"/>
    <w:rsid w:val="03477E7A"/>
    <w:rsid w:val="04E44368"/>
    <w:rsid w:val="18F07DA8"/>
    <w:rsid w:val="1BC110C9"/>
    <w:rsid w:val="1F663DAE"/>
    <w:rsid w:val="2423405A"/>
    <w:rsid w:val="25BF0954"/>
    <w:rsid w:val="29AA5903"/>
    <w:rsid w:val="2BD01EB3"/>
    <w:rsid w:val="2E19168D"/>
    <w:rsid w:val="2EE00E09"/>
    <w:rsid w:val="349B1EF8"/>
    <w:rsid w:val="369E51B1"/>
    <w:rsid w:val="38AD4628"/>
    <w:rsid w:val="395A1A9B"/>
    <w:rsid w:val="39EE1D05"/>
    <w:rsid w:val="3ABD43EA"/>
    <w:rsid w:val="3C9206EE"/>
    <w:rsid w:val="44436ABA"/>
    <w:rsid w:val="45920F54"/>
    <w:rsid w:val="49F21178"/>
    <w:rsid w:val="4BB50700"/>
    <w:rsid w:val="5A5F773D"/>
    <w:rsid w:val="5D2E42ED"/>
    <w:rsid w:val="5E8C5BA7"/>
    <w:rsid w:val="618B263A"/>
    <w:rsid w:val="73771ADF"/>
    <w:rsid w:val="753D30B4"/>
    <w:rsid w:val="76F963DF"/>
    <w:rsid w:val="77FDA1BA"/>
    <w:rsid w:val="79BEEB49"/>
    <w:rsid w:val="7C7DD557"/>
    <w:rsid w:val="7CFF95DF"/>
    <w:rsid w:val="7DA53201"/>
    <w:rsid w:val="7FF38E47"/>
    <w:rsid w:val="91FF1750"/>
    <w:rsid w:val="9DFF0C38"/>
    <w:rsid w:val="A97C42E8"/>
    <w:rsid w:val="B5976DFE"/>
    <w:rsid w:val="B79C2131"/>
    <w:rsid w:val="BB2DEB43"/>
    <w:rsid w:val="DAED709E"/>
    <w:rsid w:val="E47A066F"/>
    <w:rsid w:val="EE17A7BE"/>
    <w:rsid w:val="F70F1B09"/>
    <w:rsid w:val="F7FD7F7E"/>
    <w:rsid w:val="F7FFD672"/>
    <w:rsid w:val="F97ACE42"/>
    <w:rsid w:val="FB76A3BF"/>
    <w:rsid w:val="FBD9E0F3"/>
    <w:rsid w:val="FBF3322E"/>
    <w:rsid w:val="FDB7703D"/>
    <w:rsid w:val="FDFF0B8B"/>
    <w:rsid w:val="FEECC89D"/>
    <w:rsid w:val="FEFB7BCC"/>
    <w:rsid w:val="FF8524F1"/>
    <w:rsid w:val="FFDBA360"/>
    <w:rsid w:val="FFE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005C81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5C81"/>
      <w:u w:val="none"/>
    </w:rPr>
  </w:style>
  <w:style w:type="paragraph" w:customStyle="1" w:styleId="14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5">
    <w:name w:val="bsharetext"/>
    <w:basedOn w:val="10"/>
    <w:qFormat/>
    <w:uiPriority w:val="0"/>
  </w:style>
  <w:style w:type="character" w:customStyle="1" w:styleId="16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2033</Characters>
  <Lines>16</Lines>
  <Paragraphs>4</Paragraphs>
  <TotalTime>29</TotalTime>
  <ScaleCrop>false</ScaleCrop>
  <LinksUpToDate>false</LinksUpToDate>
  <CharactersWithSpaces>2385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wsp</dc:creator>
  <cp:lastModifiedBy>uos</cp:lastModifiedBy>
  <cp:lastPrinted>2022-05-17T17:20:00Z</cp:lastPrinted>
  <dcterms:modified xsi:type="dcterms:W3CDTF">2024-11-29T10:01:31Z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0BDD90827F4B49018ADCD758F258F914</vt:lpwstr>
  </property>
</Properties>
</file>