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14F0D">
      <w:pPr>
        <w:pStyle w:val="3"/>
        <w:keepNext w:val="0"/>
        <w:keepLines w:val="0"/>
        <w:pageBreakBefore w:val="0"/>
        <w:widowControl w:val="0"/>
        <w:kinsoku/>
        <w:wordWrap/>
        <w:overflowPunct/>
        <w:topLinePunct w:val="0"/>
        <w:autoSpaceDE/>
        <w:autoSpaceDN/>
        <w:bidi w:val="0"/>
        <w:adjustRightInd/>
        <w:snapToGrid/>
        <w:spacing w:beforeLines="0" w:after="0" w:line="550" w:lineRule="exact"/>
        <w:textAlignment w:val="auto"/>
        <w:rPr>
          <w:rFonts w:hint="default" w:ascii="Times New Roman" w:hAnsi="Times New Roman"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附件4</w:t>
      </w:r>
    </w:p>
    <w:p w14:paraId="548269E0">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550" w:lineRule="exact"/>
        <w:ind w:right="0"/>
        <w:jc w:val="center"/>
        <w:textAlignment w:val="auto"/>
        <w:outlineLvl w:val="9"/>
        <w:rPr>
          <w:rFonts w:hint="default" w:ascii="Times New Roman" w:hAnsi="Times New Roman" w:eastAsia="方正小标宋_GBK" w:cs="Times New Roman"/>
          <w:bCs w:val="0"/>
          <w:color w:val="auto"/>
          <w:sz w:val="44"/>
          <w:szCs w:val="44"/>
          <w:lang w:eastAsia="zh-CN"/>
        </w:rPr>
      </w:pPr>
    </w:p>
    <w:p w14:paraId="40AA4CC3">
      <w:pPr>
        <w:keepNext w:val="0"/>
        <w:keepLines w:val="0"/>
        <w:pageBreakBefore w:val="0"/>
        <w:widowControl/>
        <w:numPr>
          <w:ilvl w:val="0"/>
          <w:numId w:val="0"/>
        </w:numPr>
        <w:kinsoku/>
        <w:wordWrap/>
        <w:overflowPunct/>
        <w:topLinePunct w:val="0"/>
        <w:autoSpaceDE/>
        <w:autoSpaceDN/>
        <w:bidi w:val="0"/>
        <w:adjustRightInd/>
        <w:snapToGrid/>
        <w:spacing w:before="0" w:beforeLines="0" w:afterLines="0" w:line="550" w:lineRule="exact"/>
        <w:ind w:right="0"/>
        <w:jc w:val="center"/>
        <w:textAlignment w:val="auto"/>
        <w:outlineLvl w:val="9"/>
        <w:rPr>
          <w:rFonts w:hint="eastAsia" w:ascii="方正小标宋简体" w:hAnsi="方正小标宋简体" w:eastAsia="方正小标宋简体" w:cs="方正小标宋简体"/>
          <w:bCs w:val="0"/>
          <w:color w:val="auto"/>
          <w:sz w:val="44"/>
          <w:szCs w:val="44"/>
          <w:lang w:eastAsia="zh-CN"/>
        </w:rPr>
      </w:pPr>
      <w:bookmarkStart w:id="0" w:name="_GoBack"/>
      <w:r>
        <w:rPr>
          <w:rFonts w:hint="eastAsia" w:ascii="方正小标宋简体" w:hAnsi="方正小标宋简体" w:eastAsia="方正小标宋简体" w:cs="方正小标宋简体"/>
          <w:bCs w:val="0"/>
          <w:color w:val="auto"/>
          <w:sz w:val="44"/>
          <w:szCs w:val="44"/>
          <w:lang w:eastAsia="zh-CN"/>
        </w:rPr>
        <w:t>芒果种植结构调整一次性鼓励补贴申报程序</w:t>
      </w:r>
    </w:p>
    <w:bookmarkEnd w:id="0"/>
    <w:p w14:paraId="7D0247AB">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楷体_GB2312" w:cs="Times New Roman"/>
          <w:color w:val="auto"/>
          <w:sz w:val="32"/>
          <w:szCs w:val="32"/>
          <w:lang w:eastAsia="zh-CN"/>
        </w:rPr>
      </w:pPr>
    </w:p>
    <w:p w14:paraId="03575823">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黑体" w:cs="Times New Roman"/>
          <w:color w:val="auto"/>
          <w:sz w:val="32"/>
          <w:szCs w:val="32"/>
          <w:lang w:eastAsia="zh-CN"/>
        </w:rPr>
        <w:t>一、补贴对象。</w:t>
      </w:r>
      <w:r>
        <w:rPr>
          <w:rFonts w:hint="default" w:ascii="Times New Roman" w:hAnsi="Times New Roman" w:eastAsia="仿宋_GB2312" w:cs="Times New Roman"/>
          <w:color w:val="auto"/>
          <w:sz w:val="32"/>
          <w:szCs w:val="32"/>
          <w:lang w:val="en-US" w:eastAsia="zh-CN"/>
        </w:rPr>
        <w:t>2025年之前在三亚种植芒果的种植企业（含新型农业经营主体）、种植农户。</w:t>
      </w:r>
    </w:p>
    <w:p w14:paraId="20302CE6">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b w:val="0"/>
          <w:bCs w:val="0"/>
          <w:color w:val="auto"/>
          <w:sz w:val="32"/>
          <w:szCs w:val="32"/>
          <w:vertAlign w:val="baseline"/>
          <w:lang w:val="en" w:eastAsia="zh-CN"/>
        </w:rPr>
      </w:pPr>
      <w:r>
        <w:rPr>
          <w:rFonts w:hint="default" w:ascii="Times New Roman" w:hAnsi="Times New Roman" w:eastAsia="黑体" w:cs="Times New Roman"/>
          <w:color w:val="auto"/>
          <w:sz w:val="32"/>
          <w:szCs w:val="32"/>
          <w:lang w:eastAsia="zh-CN"/>
        </w:rPr>
        <w:t>二、补贴标准。</w:t>
      </w:r>
      <w:r>
        <w:rPr>
          <w:rFonts w:hint="default" w:ascii="Times New Roman" w:hAnsi="Times New Roman" w:eastAsia="仿宋_GB2312" w:cs="Times New Roman"/>
          <w:color w:val="auto"/>
          <w:sz w:val="32"/>
          <w:szCs w:val="32"/>
          <w:lang w:val="en-US" w:eastAsia="zh-CN"/>
        </w:rPr>
        <w:t>结合财政实际</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按</w:t>
      </w:r>
      <w:r>
        <w:rPr>
          <w:rFonts w:hint="default" w:ascii="Times New Roman" w:hAnsi="Times New Roman" w:eastAsia="仿宋_GB2312" w:cs="Times New Roman"/>
          <w:b w:val="0"/>
          <w:bCs w:val="0"/>
          <w:color w:val="auto"/>
          <w:sz w:val="32"/>
          <w:szCs w:val="32"/>
          <w:vertAlign w:val="baseline"/>
          <w:lang w:val="en-US" w:eastAsia="zh-CN"/>
        </w:rPr>
        <w:t>1000元</w:t>
      </w:r>
      <w:r>
        <w:rPr>
          <w:rFonts w:hint="default" w:ascii="Times New Roman" w:hAnsi="Times New Roman" w:eastAsia="仿宋_GB2312" w:cs="Times New Roman"/>
          <w:b w:val="0"/>
          <w:bCs w:val="0"/>
          <w:color w:val="auto"/>
          <w:sz w:val="32"/>
          <w:szCs w:val="32"/>
          <w:vertAlign w:val="baseline"/>
          <w:lang w:val="en" w:eastAsia="zh-CN"/>
        </w:rPr>
        <w:t>/亩发放一次性鼓励补贴。</w:t>
      </w:r>
    </w:p>
    <w:p w14:paraId="182CE4A6">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eastAsia="zh-CN"/>
        </w:rPr>
        <w:t>三、补贴条件。</w:t>
      </w:r>
      <w:r>
        <w:rPr>
          <w:rFonts w:hint="default" w:ascii="Times New Roman" w:hAnsi="Times New Roman" w:eastAsia="仿宋_GB2312" w:cs="Times New Roman"/>
          <w:color w:val="auto"/>
          <w:sz w:val="32"/>
          <w:szCs w:val="32"/>
          <w:lang w:val="en-US" w:eastAsia="zh-CN"/>
        </w:rPr>
        <w:t>在2025年至2028年期间，</w:t>
      </w:r>
      <w:r>
        <w:rPr>
          <w:rFonts w:hint="default" w:ascii="Times New Roman" w:hAnsi="Times New Roman" w:eastAsia="仿宋_GB2312" w:cs="Times New Roman"/>
          <w:color w:val="auto"/>
          <w:kern w:val="2"/>
          <w:sz w:val="32"/>
          <w:szCs w:val="32"/>
          <w:lang w:val="en-US" w:eastAsia="zh-CN" w:bidi="ar-SA"/>
        </w:rPr>
        <w:t>主动、自愿</w:t>
      </w:r>
      <w:r>
        <w:rPr>
          <w:rFonts w:hint="default" w:ascii="Times New Roman" w:hAnsi="Times New Roman" w:eastAsia="仿宋_GB2312" w:cs="Times New Roman"/>
          <w:color w:val="auto"/>
          <w:sz w:val="32"/>
          <w:szCs w:val="32"/>
          <w:lang w:val="en-US" w:eastAsia="zh-CN"/>
        </w:rPr>
        <w:t>清退芒果树后改种植《</w:t>
      </w:r>
      <w:r>
        <w:rPr>
          <w:rFonts w:hint="default" w:ascii="Times New Roman" w:hAnsi="Times New Roman" w:eastAsia="仿宋_GB2312" w:cs="Times New Roman"/>
          <w:color w:val="auto"/>
          <w:sz w:val="32"/>
          <w:szCs w:val="32"/>
        </w:rPr>
        <w:t>三亚市重点热带优异果蔬产业发展目录</w:t>
      </w:r>
      <w:r>
        <w:rPr>
          <w:rFonts w:hint="default" w:ascii="Times New Roman" w:hAnsi="Times New Roman" w:eastAsia="仿宋_GB2312" w:cs="Times New Roman"/>
          <w:color w:val="auto"/>
          <w:sz w:val="32"/>
          <w:szCs w:val="32"/>
          <w:lang w:val="en-US" w:eastAsia="zh-CN"/>
        </w:rPr>
        <w:t>》范围的“新奇特优”热带水果，并且苗木成活时间超过6个月。</w:t>
      </w:r>
    </w:p>
    <w:p w14:paraId="34995B94">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四、发放流程。</w:t>
      </w:r>
    </w:p>
    <w:p w14:paraId="33831CF0">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（一）申报程序及材料</w:t>
      </w:r>
    </w:p>
    <w:p w14:paraId="4B7818F3">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申报主体据实填写《三亚市芒果种植结构调整鼓励补贴申请审批表》（详见附件，一式叁份），报送村（居）委会，由种植地的村小组、村（居）委会进行核查、汇总，经村（居）委会“两委”会议讨论并公示5个工作日无异议后，由村（居）委会负责人签字盖章后报送各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育才生态区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农业农村局审核。</w:t>
      </w:r>
    </w:p>
    <w:p w14:paraId="283BBD7D">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申报材料：一是农户个人身份证复印件（合作社或涉农企业社会统一信用代码证的复印件、合作社负责人或涉农企业法人代表身份证复印件）；二是种植地点的土地使用证明材料（可由村（居）委会出具证明并加盖村（居）委会公章）或土地租赁证明复印件和土地确权证等；三是村（居）委会“两委”会议记录复印件和公示照片。</w:t>
      </w:r>
    </w:p>
    <w:p w14:paraId="2E3592F2">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（二）审核</w:t>
      </w:r>
    </w:p>
    <w:p w14:paraId="16B5BAF2">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育才生态区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农业农村局收到申报材料后审核、汇总，组织人员对农户、合作社、农业企业申报情况进行核实，采取随机抽查的方式对申报面积进行实地核实，特别对申报面积与提供的土地证明材料面积不一致的要重点核实，确保申报面积与实际情况一致。核实后经区农业农村局会议讨论，并公示5个工作日，有异议的需重新核对。</w:t>
      </w:r>
    </w:p>
    <w:p w14:paraId="51EE0E13">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（三）补贴资金拨付</w:t>
      </w:r>
    </w:p>
    <w:p w14:paraId="4F473243">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各区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育才生态区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农业农村局公示无异议后，按照补贴发放程序，及时将补贴资金发放给实际进行芒果清退的农户、合作社、农业企业。涉及农户的，通过“社保卡”发放；涉及专业合作社、农业企业的，通过其开设的对公账户发放</w:t>
      </w:r>
      <w:r>
        <w:rPr>
          <w:rFonts w:hint="default" w:ascii="Times New Roman" w:hAnsi="Times New Roman" w:eastAsia="黑体" w:cs="Times New Roman"/>
          <w:color w:val="auto"/>
          <w:sz w:val="32"/>
          <w:szCs w:val="32"/>
          <w:lang w:eastAsia="zh-CN"/>
        </w:rPr>
        <w:t>。</w:t>
      </w:r>
    </w:p>
    <w:p w14:paraId="10701676">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eastAsia="楷体_GB2312" w:cs="Times New Roman"/>
          <w:bCs/>
          <w:color w:val="auto"/>
          <w:kern w:val="2"/>
          <w:sz w:val="32"/>
          <w:szCs w:val="32"/>
          <w:lang w:val="en-US" w:eastAsia="zh-CN" w:bidi="ar-SA"/>
        </w:rPr>
      </w:pPr>
      <w:r>
        <w:rPr>
          <w:rFonts w:hint="default" w:ascii="Times New Roman" w:hAnsi="Times New Roman" w:eastAsia="楷体_GB2312" w:cs="Times New Roman"/>
          <w:bCs/>
          <w:color w:val="auto"/>
          <w:kern w:val="2"/>
          <w:sz w:val="32"/>
          <w:szCs w:val="32"/>
          <w:lang w:val="en-US" w:eastAsia="zh-CN" w:bidi="ar-SA"/>
        </w:rPr>
        <w:t>（四）</w:t>
      </w:r>
      <w:r>
        <w:rPr>
          <w:rFonts w:hint="default" w:ascii="Times New Roman" w:hAnsi="Times New Roman" w:eastAsia="楷体_GB2312" w:cs="Times New Roman"/>
          <w:color w:val="auto"/>
          <w:sz w:val="32"/>
          <w:szCs w:val="32"/>
        </w:rPr>
        <w:t>强化资金管理</w:t>
      </w:r>
    </w:p>
    <w:p w14:paraId="43A749B5">
      <w:pPr>
        <w:keepNext w:val="0"/>
        <w:keepLines w:val="0"/>
        <w:pageBreakBefore w:val="0"/>
        <w:widowControl w:val="0"/>
        <w:kinsoku/>
        <w:wordWrap/>
        <w:overflowPunct/>
        <w:topLinePunct w:val="0"/>
        <w:autoSpaceDE/>
        <w:autoSpaceDN/>
        <w:bidi w:val="0"/>
        <w:adjustRightInd/>
        <w:snapToGrid/>
        <w:spacing w:beforeLines="0" w:afterLines="0" w:line="550" w:lineRule="exact"/>
        <w:ind w:firstLine="640" w:firstLineChars="200"/>
        <w:textAlignment w:val="auto"/>
        <w:rPr>
          <w:rFonts w:hint="default" w:ascii="Times New Roman" w:hAnsi="Times New Roman" w:cs="Times New Roman"/>
          <w:color w:val="auto"/>
          <w:lang w:eastAsia="zh-CN"/>
        </w:rPr>
      </w:pPr>
      <w:r>
        <w:rPr>
          <w:rFonts w:hint="default" w:ascii="Times New Roman" w:hAnsi="Times New Roman" w:eastAsia="仿宋_GB2312" w:cs="Times New Roman"/>
          <w:color w:val="auto"/>
          <w:sz w:val="32"/>
          <w:szCs w:val="32"/>
        </w:rPr>
        <w:t>按照国家有关法规和《海南省财政厅 海南省人力资源和社会保障厅关于印发海南省财政惠民补贴资金发放操作规程的通知》（琼财库〔2020〕71号）要求，严格使用补贴资金，规范资金发放管理。任何单位和个人不得虚报补贴面积，不得虚报冒领、挤占挪用补贴资金，不得用补贴资金抵扣各种税费、债务和欠款。出现违纪违规违法行为的，按照有关规定追究相应责任。</w:t>
      </w:r>
    </w:p>
    <w:p w14:paraId="6AB8A64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8CC0C"/>
    <w:multiLevelType w:val="singleLevel"/>
    <w:tmpl w:val="C238CC0C"/>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72C6B"/>
    <w:rsid w:val="5CE72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spacing w:line="578" w:lineRule="exact"/>
      <w:ind w:firstLine="420" w:firstLineChars="200"/>
      <w:jc w:val="both"/>
    </w:pPr>
    <w:rPr>
      <w:rFonts w:ascii="Times New Roman" w:hAnsi="Times New Roman" w:eastAsia="宋体" w:cs="Times New Roman"/>
      <w:sz w:val="21"/>
      <w:szCs w:val="22"/>
    </w:rPr>
  </w:style>
  <w:style w:type="paragraph" w:styleId="2">
    <w:name w:val="heading 2"/>
    <w:basedOn w:val="1"/>
    <w:next w:val="1"/>
    <w:unhideWhenUsed/>
    <w:qFormat/>
    <w:uiPriority w:val="0"/>
    <w:pPr>
      <w:keepNext w:val="0"/>
      <w:keepLines w:val="0"/>
      <w:numPr>
        <w:ilvl w:val="0"/>
        <w:numId w:val="1"/>
      </w:numPr>
      <w:spacing w:before="0" w:beforeLines="0" w:beforeAutospacing="0" w:after="0" w:afterLines="0" w:afterAutospacing="0" w:line="336" w:lineRule="auto"/>
      <w:ind w:firstLine="883" w:firstLineChars="200"/>
      <w:outlineLvl w:val="1"/>
    </w:pPr>
    <w:rPr>
      <w:rFonts w:ascii="Arial" w:hAnsi="Arial" w:eastAsia="楷体"/>
      <w:b/>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uppressAutoHyphens/>
      <w:bidi w:val="0"/>
      <w:spacing w:after="120" w:afterLines="0" w:line="240" w:lineRule="auto"/>
      <w:ind w:firstLine="0" w:firstLineChars="0"/>
    </w:pPr>
    <w:rPr>
      <w:rFonts w:ascii="Times New Roman" w:hAnsi="Times New Roman" w:eastAsia="仿宋_GB2312" w:cs="Times New Roman"/>
      <w:kern w:val="2"/>
      <w:sz w:val="32"/>
      <w:szCs w:val="20"/>
      <w:lang w:val="en-US" w:eastAsia="zh-CN" w:bidi="ar-SA"/>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uppressAutoHyphens/>
      <w:bidi w:val="0"/>
      <w:snapToGrid w:val="0"/>
      <w:spacing w:line="240" w:lineRule="auto"/>
      <w:ind w:firstLine="0" w:firstLineChars="0"/>
      <w:jc w:val="both"/>
      <w:outlineLvl w:val="9"/>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2026-04-29T09:55:00Z</dcterms:created>
  <dc:creator>沁·玲珑Julia</dc:creator>
  <cp:lastModifiedBy>沁·玲珑Julia</cp:lastModifiedBy>
  <dcterms:modified xsi:type="dcterms:W3CDTF">2026-04-29T09:55:36Z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5EB217A8968146499B9BEAF1D349ED62_11</vt:lpwstr>
  </property>
  <property fmtid="{D5CDD505-2E9C-101B-9397-08002B2CF9AE}" pid="4" name="KSOTemplateDocerSaveRecord">
    <vt:lpwstr>eyJoZGlkIjoiNGRiZTVhMDA1ZWZmMzk2YmUwODJmM2FmN2Y0ZThjZWQiLCJ1c2VySWQiOiIzODA4MzExMjgifQ==</vt:lpwstr>
  </property>
</Properties>
</file>