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00" w:lineRule="exact"/>
        <w:ind w:right="0" w:rightChars="0"/>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eastAsia="zh-CN"/>
        </w:rPr>
        <w:t>附件</w:t>
      </w:r>
      <w:r>
        <w:rPr>
          <w:rFonts w:hint="eastAsia" w:ascii="方正小标宋简体" w:hAnsi="方正小标宋简体" w:eastAsia="方正小标宋简体" w:cs="方正小标宋简体"/>
          <w:bCs/>
          <w:sz w:val="36"/>
          <w:szCs w:val="36"/>
          <w:lang w:val="en-US" w:eastAsia="zh-CN"/>
        </w:rPr>
        <w:t>1</w:t>
      </w:r>
      <w:r>
        <w:rPr>
          <w:rFonts w:hint="eastAsia" w:ascii="方正小标宋简体" w:hAnsi="方正小标宋简体" w:eastAsia="方正小标宋简体" w:cs="方正小标宋简体"/>
          <w:bCs/>
          <w:sz w:val="36"/>
          <w:szCs w:val="36"/>
        </w:rPr>
        <w:t xml:space="preserve"> </w:t>
      </w:r>
    </w:p>
    <w:p>
      <w:pPr>
        <w:keepNext w:val="0"/>
        <w:keepLines w:val="0"/>
        <w:pageBreakBefore w:val="0"/>
        <w:kinsoku/>
        <w:wordWrap/>
        <w:overflowPunct/>
        <w:topLinePunct w:val="0"/>
        <w:autoSpaceDE/>
        <w:autoSpaceDN/>
        <w:bidi w:val="0"/>
        <w:adjustRightInd/>
        <w:spacing w:line="500" w:lineRule="exact"/>
        <w:ind w:right="0" w:rightChars="0"/>
        <w:textAlignment w:val="auto"/>
        <w:rPr>
          <w:rFonts w:hint="eastAsia" w:ascii="方正小标宋简体" w:hAnsi="方正小标宋简体" w:eastAsia="方正小标宋简体" w:cs="方正小标宋简体"/>
          <w:bCs/>
          <w:sz w:val="36"/>
          <w:szCs w:val="36"/>
        </w:rPr>
      </w:pPr>
    </w:p>
    <w:p>
      <w:pPr>
        <w:keepNext w:val="0"/>
        <w:keepLines w:val="0"/>
        <w:pageBreakBefore w:val="0"/>
        <w:kinsoku/>
        <w:wordWrap/>
        <w:overflowPunct/>
        <w:topLinePunct w:val="0"/>
        <w:autoSpaceDE/>
        <w:autoSpaceDN/>
        <w:bidi w:val="0"/>
        <w:adjustRightInd/>
        <w:spacing w:line="500" w:lineRule="exact"/>
        <w:ind w:right="0" w:righ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三亚市201</w:t>
      </w:r>
      <w:r>
        <w:rPr>
          <w:rFonts w:ascii="方正小标宋简体" w:hAnsi="方正小标宋简体" w:eastAsia="方正小标宋简体" w:cs="方正小标宋简体"/>
          <w:bCs/>
          <w:sz w:val="44"/>
          <w:szCs w:val="44"/>
        </w:rPr>
        <w:t>7</w:t>
      </w:r>
      <w:r>
        <w:rPr>
          <w:rFonts w:hint="eastAsia" w:ascii="方正小标宋简体" w:hAnsi="方正小标宋简体" w:eastAsia="方正小标宋简体" w:cs="方正小标宋简体"/>
          <w:bCs/>
          <w:sz w:val="44"/>
          <w:szCs w:val="44"/>
        </w:rPr>
        <w:t>年常年蔬菜基地建设地力保育实施方案</w:t>
      </w:r>
    </w:p>
    <w:p>
      <w:pPr>
        <w:keepNext w:val="0"/>
        <w:keepLines w:val="0"/>
        <w:pageBreakBefore w:val="0"/>
        <w:kinsoku/>
        <w:wordWrap/>
        <w:overflowPunct/>
        <w:topLinePunct w:val="0"/>
        <w:autoSpaceDE/>
        <w:autoSpaceDN/>
        <w:bidi w:val="0"/>
        <w:adjustRightInd/>
        <w:spacing w:line="500" w:lineRule="exact"/>
        <w:ind w:right="0" w:rightChars="0"/>
        <w:textAlignment w:val="auto"/>
        <w:rPr>
          <w:rFonts w:hint="eastAsia" w:ascii="仿宋_GB2312" w:eastAsia="仿宋_GB2312"/>
          <w:b/>
          <w:sz w:val="36"/>
          <w:szCs w:val="36"/>
        </w:rPr>
      </w:pP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eastAsia="仿宋_GB2312"/>
          <w:kern w:val="0"/>
          <w:sz w:val="32"/>
        </w:rPr>
      </w:pPr>
      <w:r>
        <w:rPr>
          <w:rFonts w:hint="eastAsia" w:ascii="仿宋_GB2312" w:hAnsi="仿宋_GB2312" w:eastAsia="仿宋_GB2312"/>
          <w:sz w:val="32"/>
        </w:rPr>
        <w:t>根据三亚市人民政府办公室关于印发《</w:t>
      </w:r>
      <w:r>
        <w:rPr>
          <w:rFonts w:hint="eastAsia" w:ascii="仿宋_GB2312" w:hAnsi="仿宋_GB2312" w:eastAsia="仿宋_GB2312" w:cs="仿宋_GB2312"/>
          <w:bCs/>
          <w:sz w:val="32"/>
          <w:szCs w:val="32"/>
        </w:rPr>
        <w:t>三亚市201</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年常年蔬菜基地建设实施方案》</w:t>
      </w:r>
      <w:r>
        <w:rPr>
          <w:rFonts w:hint="eastAsia" w:ascii="仿宋_GB2312" w:hAnsi="仿宋_GB2312" w:eastAsia="仿宋_GB2312"/>
          <w:sz w:val="32"/>
        </w:rPr>
        <w:t>（三府办</w:t>
      </w:r>
      <w:r>
        <w:rPr>
          <w:rFonts w:hint="eastAsia" w:ascii="仿宋_GB2312" w:hAnsi="仿宋_GB2312" w:eastAsia="仿宋_GB2312" w:cs="仿宋_GB2312"/>
          <w:bCs/>
          <w:sz w:val="32"/>
          <w:szCs w:val="32"/>
        </w:rPr>
        <w:t>〔201</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78</w:t>
      </w:r>
      <w:r>
        <w:rPr>
          <w:rFonts w:hint="eastAsia" w:ascii="仿宋_GB2312" w:hAnsi="仿宋_GB2312" w:eastAsia="仿宋_GB2312" w:cs="仿宋_GB2312"/>
          <w:bCs/>
          <w:sz w:val="32"/>
          <w:szCs w:val="32"/>
        </w:rPr>
        <w:t>号）精神，为加快推进我市201</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年常年蔬菜基地建设步伐，提升常年蔬菜基地地力水平,结合我市</w:t>
      </w:r>
      <w:r>
        <w:rPr>
          <w:rFonts w:hint="eastAsia" w:ascii="仿宋_GB2312" w:eastAsia="仿宋_GB2312"/>
          <w:kern w:val="0"/>
          <w:sz w:val="32"/>
        </w:rPr>
        <w:t>实际，特制订本方案。</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bCs/>
          <w:kern w:val="0"/>
          <w:sz w:val="32"/>
        </w:rPr>
      </w:pPr>
      <w:r>
        <w:rPr>
          <w:rFonts w:hint="eastAsia" w:ascii="黑体" w:hAnsi="黑体" w:eastAsia="黑体" w:cs="黑体"/>
          <w:bCs/>
          <w:kern w:val="0"/>
          <w:sz w:val="32"/>
        </w:rPr>
        <w:t xml:space="preserve">    一、指导思想</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eastAsia="仿宋_GB2312"/>
          <w:kern w:val="0"/>
          <w:sz w:val="32"/>
        </w:rPr>
      </w:pPr>
      <w:r>
        <w:rPr>
          <w:rFonts w:hint="eastAsia" w:ascii="仿宋_GB2312" w:hAnsi="仿宋_GB2312" w:eastAsia="仿宋_GB2312"/>
          <w:sz w:val="32"/>
        </w:rPr>
        <w:t>深入贯彻落实科学发展观，统筹推进新一轮常年蔬菜基地建设，通过实施地力保育，提升耕地质量，</w:t>
      </w:r>
      <w:r>
        <w:rPr>
          <w:rFonts w:hint="eastAsia" w:ascii="仿宋_GB2312" w:eastAsia="仿宋_GB2312"/>
          <w:sz w:val="32"/>
        </w:rPr>
        <w:t>优化生产环境，</w:t>
      </w:r>
      <w:r>
        <w:rPr>
          <w:rFonts w:hint="eastAsia" w:ascii="仿宋_GB2312" w:hAnsi="仿宋_GB2312" w:eastAsia="仿宋_GB2312"/>
          <w:sz w:val="32"/>
        </w:rPr>
        <w:t>为</w:t>
      </w:r>
      <w:r>
        <w:rPr>
          <w:rFonts w:hint="eastAsia" w:ascii="仿宋_GB2312" w:eastAsia="仿宋_GB2312"/>
          <w:kern w:val="0"/>
          <w:sz w:val="32"/>
        </w:rPr>
        <w:t>常年蔬菜生产提供基础保障。</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bCs/>
          <w:kern w:val="0"/>
          <w:sz w:val="32"/>
        </w:rPr>
      </w:pPr>
      <w:r>
        <w:rPr>
          <w:rFonts w:hint="eastAsia" w:ascii="黑体" w:hAnsi="黑体" w:eastAsia="黑体" w:cs="黑体"/>
          <w:bCs/>
          <w:kern w:val="0"/>
          <w:sz w:val="32"/>
        </w:rPr>
        <w:t xml:space="preserve">    二、工作目标</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eastAsia="仿宋_GB2312"/>
          <w:color w:val="000000"/>
          <w:sz w:val="32"/>
        </w:rPr>
      </w:pPr>
      <w:r>
        <w:rPr>
          <w:rFonts w:hint="eastAsia" w:ascii="仿宋_GB2312" w:eastAsia="仿宋_GB2312"/>
          <w:sz w:val="32"/>
        </w:rPr>
        <w:t>通过增施有机肥、添加土壤调</w:t>
      </w:r>
      <w:r>
        <w:rPr>
          <w:rFonts w:hint="eastAsia" w:ascii="仿宋_GB2312" w:hAnsi="宋体" w:eastAsia="仿宋_GB2312" w:cs="宋体"/>
          <w:kern w:val="0"/>
          <w:sz w:val="32"/>
          <w:szCs w:val="32"/>
        </w:rPr>
        <w:t>理</w:t>
      </w:r>
      <w:r>
        <w:rPr>
          <w:rFonts w:hint="eastAsia" w:ascii="仿宋_GB2312" w:eastAsia="仿宋_GB2312"/>
          <w:sz w:val="32"/>
        </w:rPr>
        <w:t>剂等方式提高常年蔬菜基地土壤生产能力，</w:t>
      </w:r>
      <w:r>
        <w:rPr>
          <w:rFonts w:hint="eastAsia" w:ascii="仿宋_GB2312" w:eastAsia="仿宋_GB2312"/>
          <w:color w:val="000000"/>
          <w:sz w:val="32"/>
        </w:rPr>
        <w:t>促进农产品品质提升，</w:t>
      </w:r>
      <w:r>
        <w:rPr>
          <w:rFonts w:hint="eastAsia" w:ascii="仿宋_GB2312" w:eastAsia="仿宋_GB2312"/>
          <w:sz w:val="32"/>
        </w:rPr>
        <w:t>保障质量安全。</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bCs/>
          <w:kern w:val="0"/>
          <w:sz w:val="32"/>
        </w:rPr>
      </w:pPr>
      <w:r>
        <w:rPr>
          <w:rFonts w:hint="eastAsia" w:ascii="黑体" w:hAnsi="黑体" w:eastAsia="黑体" w:cs="黑体"/>
          <w:bCs/>
          <w:kern w:val="0"/>
          <w:sz w:val="32"/>
        </w:rPr>
        <w:t xml:space="preserve">    三、建设内容</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eastAsia="仿宋_GB2312"/>
          <w:color w:val="000000"/>
          <w:sz w:val="32"/>
        </w:rPr>
      </w:pPr>
      <w:r>
        <w:rPr>
          <w:rFonts w:hint="eastAsia" w:ascii="仿宋_GB2312" w:eastAsia="仿宋_GB2312"/>
          <w:color w:val="000000"/>
          <w:sz w:val="32"/>
        </w:rPr>
        <w:t>在全市常年蔬菜生产基地中实施1000亩，主要采取增施有机肥、添加土壤调理剂这两种技术措施提高土壤肥力。</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宋体" w:eastAsia="仿宋_GB2312"/>
          <w:sz w:val="32"/>
          <w:szCs w:val="32"/>
        </w:rPr>
      </w:pPr>
      <w:r>
        <w:rPr>
          <w:rFonts w:hint="eastAsia" w:ascii="仿宋_GB2312" w:hAnsi="仿宋_GB2312" w:eastAsia="仿宋_GB2312" w:cs="仿宋_GB2312"/>
          <w:color w:val="000000"/>
          <w:sz w:val="32"/>
          <w:szCs w:val="32"/>
        </w:rPr>
        <w:t>一是增施有机肥。主要通过施用腐熟的人、畜粪尿肥，绿肥及商品有机肥等有机质含量高的肥料来增加和保持土壤肥力，整地时在田里均匀地撒上有机肥，让土肥均匀混合。二是添加土壤调理剂。主要</w:t>
      </w:r>
      <w:r>
        <w:rPr>
          <w:rFonts w:hint="eastAsia" w:ascii="仿宋_GB2312" w:hAnsi="宋体" w:eastAsia="仿宋_GB2312"/>
          <w:color w:val="000000"/>
          <w:sz w:val="32"/>
          <w:szCs w:val="32"/>
        </w:rPr>
        <w:t>通过施用土壤改良剂改良土壤的物理、化学和生物性质，使酸化、板结、施肥过度的土壤恢复活力，改善土壤连作障碍，增强保水保肥能力，提供适宜作物生长的土壤环境，在犁地时每亩撒施100公斤的土壤调理剂。</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黑体" w:hAnsi="宋体" w:eastAsia="黑体"/>
          <w:sz w:val="32"/>
          <w:szCs w:val="32"/>
        </w:rPr>
      </w:pPr>
      <w:r>
        <w:rPr>
          <w:rFonts w:hint="eastAsia" w:ascii="黑体" w:hAnsi="宋体" w:eastAsia="黑体"/>
          <w:sz w:val="32"/>
          <w:szCs w:val="32"/>
        </w:rPr>
        <w:t>四、申报与审批</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（一）申报条件</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jc w:val="left"/>
        <w:textAlignment w:val="auto"/>
        <w:outlineLvl w:val="9"/>
        <w:rPr>
          <w:rFonts w:hint="eastAsia" w:ascii="仿宋_GB2312" w:eastAsia="仿宋_GB2312"/>
          <w:sz w:val="32"/>
        </w:rPr>
      </w:pPr>
      <w:r>
        <w:rPr>
          <w:rFonts w:hint="eastAsia" w:ascii="仿宋_GB2312" w:hAnsi="宋体" w:eastAsia="仿宋_GB2312"/>
          <w:sz w:val="32"/>
          <w:szCs w:val="32"/>
        </w:rPr>
        <w:t>1.</w:t>
      </w:r>
      <w:r>
        <w:rPr>
          <w:rFonts w:hint="eastAsia" w:ascii="仿宋_GB2312" w:eastAsia="仿宋_GB2312"/>
          <w:sz w:val="32"/>
        </w:rPr>
        <w:t xml:space="preserve"> 经所在地农业行政主管部门登记确认的我市常年蔬菜种植户，包括农业企业、农民专业合作社。</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eastAsia="仿宋_GB2312"/>
          <w:color w:val="000000"/>
          <w:sz w:val="32"/>
        </w:rPr>
      </w:pPr>
      <w:r>
        <w:rPr>
          <w:rFonts w:hint="eastAsia" w:ascii="仿宋_GB2312" w:hAnsi="宋体" w:eastAsia="仿宋_GB2312"/>
          <w:sz w:val="32"/>
          <w:szCs w:val="32"/>
        </w:rPr>
        <w:t>2.经三亚市农业局确认的常年蔬菜挂牌基地，</w:t>
      </w:r>
      <w:r>
        <w:rPr>
          <w:rFonts w:hint="eastAsia" w:ascii="仿宋_GB2312" w:eastAsia="仿宋_GB2312"/>
          <w:color w:val="000000"/>
          <w:sz w:val="32"/>
        </w:rPr>
        <w:t>产销一体化市政府瓜菜应急调控试点基地、</w:t>
      </w:r>
      <w:r>
        <w:rPr>
          <w:rFonts w:hint="eastAsia" w:ascii="仿宋_GB2312" w:hAnsi="宋体" w:eastAsia="仿宋_GB2312"/>
          <w:sz w:val="32"/>
          <w:szCs w:val="32"/>
        </w:rPr>
        <w:t>夏秋季节正常进行常年蔬菜生产</w:t>
      </w:r>
      <w:r>
        <w:rPr>
          <w:rFonts w:hint="eastAsia" w:ascii="仿宋_GB2312" w:eastAsia="仿宋_GB2312"/>
          <w:color w:val="000000"/>
          <w:sz w:val="32"/>
        </w:rPr>
        <w:t>基地优先</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sz w:val="32"/>
          <w:szCs w:val="32"/>
        </w:rPr>
        <w:t xml:space="preserve"> 基地规模较大，</w:t>
      </w:r>
      <w:r>
        <w:rPr>
          <w:rFonts w:hint="eastAsia" w:ascii="仿宋_GB2312" w:hAnsi="仿宋_GB2312" w:eastAsia="仿宋_GB2312"/>
          <w:sz w:val="32"/>
        </w:rPr>
        <w:t>相对</w:t>
      </w:r>
      <w:r>
        <w:rPr>
          <w:rFonts w:hint="eastAsia" w:ascii="仿宋_GB2312" w:hAnsi="仿宋_GB2312" w:eastAsia="仿宋_GB2312" w:cs="仿宋_GB2312"/>
          <w:sz w:val="32"/>
          <w:szCs w:val="32"/>
        </w:rPr>
        <w:t>集中连片，种植规模50亩以上，并且生产管理较规范。</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宋体" w:eastAsia="仿宋_GB2312"/>
          <w:sz w:val="32"/>
          <w:szCs w:val="32"/>
        </w:rPr>
        <w:t>常年蔬菜基地面积以三亚市农业局测量为准。</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（二）申报材料</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1.农业企业（合作社）的营业执照、机构代码证和法人身份证，以及土地承包合同。</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sz w:val="32"/>
          <w:szCs w:val="32"/>
        </w:rPr>
        <w:t>2.证明常年蔬菜基地正常种植生产的相关资料（生产记录、产销台帐、</w:t>
      </w:r>
      <w:r>
        <w:rPr>
          <w:rFonts w:hint="eastAsia" w:ascii="仿宋_GB2312" w:hAnsi="宋体" w:eastAsia="仿宋_GB2312"/>
          <w:color w:val="000000"/>
          <w:sz w:val="32"/>
          <w:szCs w:val="32"/>
        </w:rPr>
        <w:t>图片等</w:t>
      </w:r>
      <w:r>
        <w:rPr>
          <w:rFonts w:hint="eastAsia" w:ascii="仿宋_GB2312" w:hAnsi="宋体" w:eastAsia="仿宋_GB2312"/>
          <w:sz w:val="32"/>
          <w:szCs w:val="32"/>
        </w:rPr>
        <w:t>），</w:t>
      </w:r>
      <w:r>
        <w:rPr>
          <w:rFonts w:hint="eastAsia" w:ascii="仿宋_GB2312" w:hAnsi="宋体" w:eastAsia="仿宋_GB2312"/>
          <w:color w:val="000000"/>
          <w:sz w:val="32"/>
          <w:szCs w:val="32"/>
        </w:rPr>
        <w:t>要确保上报的材料真实可信。</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3.项目实施申请表。</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4、属于</w:t>
      </w:r>
      <w:r>
        <w:rPr>
          <w:rFonts w:hint="eastAsia" w:ascii="仿宋_GB2312" w:eastAsia="仿宋_GB2312"/>
          <w:color w:val="000000"/>
          <w:sz w:val="32"/>
        </w:rPr>
        <w:t>产销一体化市政府瓜菜应急调控试点基地要提供相关证明材料。</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（三）申报审批</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sz w:val="32"/>
          <w:szCs w:val="32"/>
        </w:rPr>
        <w:t>各区</w:t>
      </w:r>
      <w:r>
        <w:rPr>
          <w:rFonts w:hint="eastAsia" w:ascii="楷体_GB2312" w:hAnsi="宋体" w:eastAsia="楷体_GB2312"/>
          <w:sz w:val="32"/>
          <w:szCs w:val="32"/>
        </w:rPr>
        <w:t>申报</w:t>
      </w:r>
      <w:r>
        <w:rPr>
          <w:rFonts w:hint="eastAsia" w:ascii="仿宋_GB2312" w:hAnsi="宋体" w:eastAsia="仿宋_GB2312"/>
          <w:sz w:val="32"/>
          <w:szCs w:val="32"/>
        </w:rPr>
        <w:t>面积为：天涯区</w:t>
      </w:r>
      <w:r>
        <w:rPr>
          <w:rFonts w:hint="eastAsia" w:ascii="仿宋_GB2312" w:hAnsi="宋体" w:eastAsia="仿宋_GB2312"/>
          <w:sz w:val="32"/>
          <w:szCs w:val="32"/>
          <w:lang w:val="en-US" w:eastAsia="zh-CN"/>
        </w:rPr>
        <w:t>6</w:t>
      </w:r>
      <w:r>
        <w:rPr>
          <w:rFonts w:hint="eastAsia" w:ascii="仿宋_GB2312" w:hAnsi="宋体" w:eastAsia="仿宋_GB2312"/>
          <w:sz w:val="32"/>
          <w:szCs w:val="32"/>
        </w:rPr>
        <w:t>00亩、吉阳区1</w:t>
      </w:r>
      <w:r>
        <w:rPr>
          <w:rFonts w:hint="eastAsia" w:ascii="仿宋_GB2312" w:hAnsi="宋体" w:eastAsia="仿宋_GB2312"/>
          <w:sz w:val="32"/>
          <w:szCs w:val="32"/>
          <w:lang w:val="en-US" w:eastAsia="zh-CN"/>
        </w:rPr>
        <w:t>8</w:t>
      </w:r>
      <w:r>
        <w:rPr>
          <w:rFonts w:hint="eastAsia" w:ascii="仿宋_GB2312" w:hAnsi="宋体" w:eastAsia="仿宋_GB2312"/>
          <w:sz w:val="32"/>
          <w:szCs w:val="32"/>
        </w:rPr>
        <w:t>0亩、海棠区</w:t>
      </w:r>
      <w:r>
        <w:rPr>
          <w:rFonts w:hint="eastAsia" w:ascii="仿宋_GB2312" w:hAnsi="宋体" w:eastAsia="仿宋_GB2312"/>
          <w:sz w:val="32"/>
          <w:szCs w:val="32"/>
          <w:lang w:val="en-US" w:eastAsia="zh-CN"/>
        </w:rPr>
        <w:t>1</w:t>
      </w:r>
      <w:r>
        <w:rPr>
          <w:rFonts w:hint="eastAsia" w:ascii="仿宋_GB2312" w:hAnsi="宋体" w:eastAsia="仿宋_GB2312"/>
          <w:sz w:val="32"/>
          <w:szCs w:val="32"/>
        </w:rPr>
        <w:t>20亩、育才生态区管委会100亩。实施方案印发后的10个工作日内，各区（管委会）农业部门推荐</w:t>
      </w:r>
      <w:r>
        <w:rPr>
          <w:rFonts w:hint="eastAsia" w:ascii="仿宋_GB2312" w:hAnsi="宋体" w:eastAsia="仿宋_GB2312"/>
          <w:color w:val="000000"/>
          <w:sz w:val="32"/>
          <w:szCs w:val="32"/>
        </w:rPr>
        <w:t>，市农业部门对申报基地进行评审核查。经核查通过后的基地进行公示，无异议后，批准实施。</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kern w:val="0"/>
          <w:sz w:val="32"/>
        </w:rPr>
        <w:t>五、资金安排</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rPr>
        <w:t>全年市财政投入100万元，实施1000亩（详见表1），从</w:t>
      </w:r>
      <w:r>
        <w:rPr>
          <w:rFonts w:hint="eastAsia" w:ascii="仿宋_GB2312" w:eastAsia="仿宋_GB2312"/>
          <w:sz w:val="32"/>
          <w:szCs w:val="32"/>
        </w:rPr>
        <w:t>三亚市201</w:t>
      </w:r>
      <w:r>
        <w:rPr>
          <w:rFonts w:ascii="仿宋_GB2312" w:eastAsia="仿宋_GB2312"/>
          <w:sz w:val="32"/>
          <w:szCs w:val="32"/>
        </w:rPr>
        <w:t>7</w:t>
      </w:r>
      <w:r>
        <w:rPr>
          <w:rFonts w:hint="eastAsia" w:ascii="仿宋_GB2312" w:eastAsia="仿宋_GB2312"/>
          <w:sz w:val="32"/>
          <w:szCs w:val="32"/>
        </w:rPr>
        <w:t>年常年蔬菜基地建设项目列支，</w:t>
      </w:r>
      <w:r>
        <w:rPr>
          <w:rFonts w:hint="eastAsia" w:ascii="仿宋_GB2312" w:eastAsia="仿宋_GB2312"/>
          <w:sz w:val="32"/>
        </w:rPr>
        <w:t>按照不高于1000元/亩的标准进行物资扶持</w:t>
      </w:r>
      <w:r>
        <w:rPr>
          <w:rFonts w:hint="eastAsia" w:ascii="仿宋_GB2312" w:eastAsia="仿宋_GB2312"/>
          <w:color w:val="0000FF"/>
          <w:sz w:val="32"/>
          <w:szCs w:val="32"/>
        </w:rPr>
        <w:t>。</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bCs/>
          <w:sz w:val="32"/>
          <w:szCs w:val="32"/>
        </w:rPr>
      </w:pP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bCs/>
          <w:sz w:val="32"/>
          <w:szCs w:val="32"/>
        </w:rPr>
      </w:pP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bCs/>
          <w:sz w:val="32"/>
          <w:szCs w:val="32"/>
        </w:rPr>
      </w:pP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表1  常年蔬菜基地建设资金安排</w:t>
      </w:r>
    </w:p>
    <w:tbl>
      <w:tblPr>
        <w:tblStyle w:val="3"/>
        <w:tblW w:w="8958" w:type="dxa"/>
        <w:tblInd w:w="0" w:type="dxa"/>
        <w:tblLayout w:type="fixed"/>
        <w:tblCellMar>
          <w:top w:w="0" w:type="dxa"/>
          <w:left w:w="108" w:type="dxa"/>
          <w:bottom w:w="0" w:type="dxa"/>
          <w:right w:w="108" w:type="dxa"/>
        </w:tblCellMar>
      </w:tblPr>
      <w:tblGrid>
        <w:gridCol w:w="1494"/>
        <w:gridCol w:w="3033"/>
        <w:gridCol w:w="1680"/>
        <w:gridCol w:w="1680"/>
        <w:gridCol w:w="1071"/>
      </w:tblGrid>
      <w:tr>
        <w:tblPrEx>
          <w:tblLayout w:type="fixed"/>
          <w:tblCellMar>
            <w:top w:w="0" w:type="dxa"/>
            <w:left w:w="108" w:type="dxa"/>
            <w:bottom w:w="0" w:type="dxa"/>
            <w:right w:w="108" w:type="dxa"/>
          </w:tblCellMar>
        </w:tblPrEx>
        <w:trPr>
          <w:trHeight w:val="285" w:hRule="atLeast"/>
        </w:trPr>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保育方式</w:t>
            </w:r>
          </w:p>
        </w:tc>
        <w:tc>
          <w:tcPr>
            <w:tcW w:w="303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投入来源</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通过增施有机肥、添加土壤调理剂</w:t>
            </w:r>
            <w:r>
              <w:rPr>
                <w:rFonts w:hint="eastAsia" w:ascii="仿宋_GB2312" w:hAnsi="宋体" w:eastAsia="仿宋_GB2312"/>
                <w:sz w:val="28"/>
                <w:szCs w:val="28"/>
              </w:rPr>
              <w:t>改良土壤的物理性状，提升地力。</w:t>
            </w:r>
          </w:p>
        </w:tc>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合计</w:t>
            </w:r>
          </w:p>
        </w:tc>
      </w:tr>
      <w:tr>
        <w:tblPrEx>
          <w:tblLayout w:type="fixed"/>
          <w:tblCellMar>
            <w:top w:w="0" w:type="dxa"/>
            <w:left w:w="108" w:type="dxa"/>
            <w:bottom w:w="0" w:type="dxa"/>
            <w:right w:w="108" w:type="dxa"/>
          </w:tblCellMar>
        </w:tblPrEx>
        <w:trPr>
          <w:trHeight w:val="285" w:hRule="atLeast"/>
        </w:trPr>
        <w:tc>
          <w:tcPr>
            <w:tcW w:w="1494"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面积（亩）</w:t>
            </w:r>
          </w:p>
        </w:tc>
        <w:tc>
          <w:tcPr>
            <w:tcW w:w="303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p>
        </w:tc>
        <w:tc>
          <w:tcPr>
            <w:tcW w:w="336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1000</w:t>
            </w:r>
          </w:p>
        </w:tc>
        <w:tc>
          <w:tcPr>
            <w:tcW w:w="107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1000</w:t>
            </w:r>
          </w:p>
        </w:tc>
      </w:tr>
      <w:tr>
        <w:tblPrEx>
          <w:tblLayout w:type="fixed"/>
          <w:tblCellMar>
            <w:top w:w="0" w:type="dxa"/>
            <w:left w:w="108" w:type="dxa"/>
            <w:bottom w:w="0" w:type="dxa"/>
            <w:right w:w="108" w:type="dxa"/>
          </w:tblCellMar>
        </w:tblPrEx>
        <w:trPr>
          <w:trHeight w:val="285" w:hRule="atLeast"/>
        </w:trPr>
        <w:tc>
          <w:tcPr>
            <w:tcW w:w="149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亩需要物资及资金</w:t>
            </w:r>
          </w:p>
        </w:tc>
        <w:tc>
          <w:tcPr>
            <w:tcW w:w="30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物资（公斤）</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有机肥2</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0</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调理剂100</w:t>
            </w:r>
          </w:p>
        </w:tc>
        <w:tc>
          <w:tcPr>
            <w:tcW w:w="107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0</w:t>
            </w:r>
          </w:p>
        </w:tc>
      </w:tr>
      <w:tr>
        <w:tblPrEx>
          <w:tblLayout w:type="fixed"/>
          <w:tblCellMar>
            <w:top w:w="0" w:type="dxa"/>
            <w:left w:w="108" w:type="dxa"/>
            <w:bottom w:w="0" w:type="dxa"/>
            <w:right w:w="108" w:type="dxa"/>
          </w:tblCellMar>
        </w:tblPrEx>
        <w:trPr>
          <w:trHeight w:val="285" w:hRule="atLeast"/>
        </w:trPr>
        <w:tc>
          <w:tcPr>
            <w:tcW w:w="149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p>
        </w:tc>
        <w:tc>
          <w:tcPr>
            <w:tcW w:w="30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资金（元）</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800</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200</w:t>
            </w:r>
          </w:p>
        </w:tc>
        <w:tc>
          <w:tcPr>
            <w:tcW w:w="107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1000</w:t>
            </w:r>
          </w:p>
        </w:tc>
      </w:tr>
      <w:tr>
        <w:tblPrEx>
          <w:tblLayout w:type="fixed"/>
          <w:tblCellMar>
            <w:top w:w="0" w:type="dxa"/>
            <w:left w:w="108" w:type="dxa"/>
            <w:bottom w:w="0" w:type="dxa"/>
            <w:right w:w="108" w:type="dxa"/>
          </w:tblCellMar>
        </w:tblPrEx>
        <w:trPr>
          <w:trHeight w:val="285" w:hRule="atLeast"/>
        </w:trPr>
        <w:tc>
          <w:tcPr>
            <w:tcW w:w="1494"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资金总预算（万元）</w:t>
            </w:r>
          </w:p>
        </w:tc>
        <w:tc>
          <w:tcPr>
            <w:tcW w:w="30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市财政投入</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80</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107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r>
      <w:tr>
        <w:tblPrEx>
          <w:tblLayout w:type="fixed"/>
          <w:tblCellMar>
            <w:top w:w="0" w:type="dxa"/>
            <w:left w:w="108" w:type="dxa"/>
            <w:bottom w:w="0" w:type="dxa"/>
            <w:right w:w="108" w:type="dxa"/>
          </w:tblCellMar>
        </w:tblPrEx>
        <w:trPr>
          <w:trHeight w:val="285" w:hRule="atLeast"/>
        </w:trPr>
        <w:tc>
          <w:tcPr>
            <w:tcW w:w="4527"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资金总投入（万元）</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80</w:t>
            </w:r>
          </w:p>
        </w:tc>
        <w:tc>
          <w:tcPr>
            <w:tcW w:w="16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107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4" w:lineRule="exact"/>
              <w:ind w:left="0" w:leftChars="0" w:right="0" w:rightChars="0"/>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r>
    </w:tbl>
    <w:p>
      <w:pPr>
        <w:keepNext w:val="0"/>
        <w:keepLines w:val="0"/>
        <w:pageBreakBefore w:val="0"/>
        <w:widowControl/>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bCs/>
          <w:szCs w:val="21"/>
        </w:rPr>
      </w:pPr>
      <w:r>
        <w:rPr>
          <w:rFonts w:hint="eastAsia" w:ascii="黑体" w:hAnsi="黑体" w:eastAsia="黑体" w:cs="黑体"/>
          <w:bCs/>
          <w:sz w:val="32"/>
          <w:szCs w:val="32"/>
        </w:rPr>
        <w:t xml:space="preserve">    </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六、实施进度</w:t>
      </w:r>
    </w:p>
    <w:p>
      <w:pPr>
        <w:keepNext w:val="0"/>
        <w:keepLines w:val="0"/>
        <w:pageBreakBefore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eastAsia="仿宋_GB2312"/>
          <w:bCs/>
          <w:sz w:val="32"/>
          <w:szCs w:val="32"/>
        </w:rPr>
      </w:pPr>
      <w:r>
        <w:rPr>
          <w:rFonts w:hint="eastAsia" w:ascii="仿宋_GB2312" w:eastAsia="仿宋_GB2312"/>
          <w:bCs/>
          <w:sz w:val="32"/>
          <w:szCs w:val="32"/>
        </w:rPr>
        <w:t xml:space="preserve">    2018年1月：制定并印发实施方案。</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30"/>
        <w:textAlignment w:val="auto"/>
        <w:outlineLvl w:val="9"/>
        <w:rPr>
          <w:rFonts w:hint="eastAsia" w:ascii="仿宋_GB2312" w:eastAsia="仿宋_GB2312"/>
          <w:bCs/>
          <w:color w:val="000000"/>
          <w:sz w:val="32"/>
          <w:szCs w:val="32"/>
        </w:rPr>
      </w:pPr>
      <w:r>
        <w:rPr>
          <w:rFonts w:hint="eastAsia" w:ascii="仿宋_GB2312" w:eastAsia="仿宋_GB2312"/>
          <w:bCs/>
          <w:sz w:val="32"/>
          <w:szCs w:val="32"/>
        </w:rPr>
        <w:t>2018年</w:t>
      </w:r>
      <w:r>
        <w:rPr>
          <w:rFonts w:hint="eastAsia" w:ascii="仿宋_GB2312" w:eastAsia="仿宋_GB2312"/>
          <w:bCs/>
          <w:color w:val="000000"/>
          <w:sz w:val="32"/>
          <w:szCs w:val="32"/>
        </w:rPr>
        <w:t>2-5月：开展实施。一是常年蔬菜种植基地申报推荐、审查和公示。二是补贴物资的采购</w:t>
      </w:r>
      <w:r>
        <w:rPr>
          <w:rFonts w:hint="eastAsia" w:ascii="仿宋_GB2312" w:eastAsia="仿宋_GB2312"/>
          <w:bCs/>
          <w:color w:val="000000"/>
          <w:sz w:val="32"/>
          <w:szCs w:val="32"/>
          <w:lang w:eastAsia="zh-CN"/>
        </w:rPr>
        <w:t>由市农技中心进行公开招标、统一采购</w:t>
      </w:r>
      <w:r>
        <w:rPr>
          <w:rFonts w:hint="eastAsia" w:ascii="仿宋_GB2312" w:eastAsia="仿宋_GB2312"/>
          <w:bCs/>
          <w:color w:val="000000"/>
          <w:sz w:val="32"/>
          <w:szCs w:val="32"/>
        </w:rPr>
        <w:t>、发放、登记、验收。三是开展技术指导培训等。</w:t>
      </w:r>
    </w:p>
    <w:p>
      <w:pPr>
        <w:keepNext w:val="0"/>
        <w:keepLines w:val="0"/>
        <w:pageBreakBefore w:val="0"/>
        <w:kinsoku/>
        <w:wordWrap/>
        <w:overflowPunct/>
        <w:topLinePunct w:val="0"/>
        <w:autoSpaceDE/>
        <w:autoSpaceDN/>
        <w:bidi w:val="0"/>
        <w:adjustRightInd/>
        <w:snapToGrid/>
        <w:spacing w:line="574" w:lineRule="exact"/>
        <w:ind w:left="0" w:leftChars="0" w:right="0" w:rightChars="0" w:firstLine="630"/>
        <w:textAlignment w:val="auto"/>
        <w:outlineLvl w:val="9"/>
        <w:rPr>
          <w:rFonts w:hint="eastAsia" w:ascii="仿宋_GB2312" w:eastAsia="仿宋_GB2312"/>
          <w:bCs/>
          <w:color w:val="000000"/>
          <w:sz w:val="32"/>
          <w:szCs w:val="32"/>
        </w:rPr>
      </w:pPr>
      <w:r>
        <w:rPr>
          <w:rFonts w:hint="eastAsia" w:ascii="仿宋_GB2312" w:eastAsia="仿宋_GB2312"/>
          <w:bCs/>
          <w:color w:val="000000"/>
          <w:sz w:val="32"/>
          <w:szCs w:val="32"/>
        </w:rPr>
        <w:t>2018年6-7月：项目验收。种植</w:t>
      </w:r>
      <w:r>
        <w:rPr>
          <w:rFonts w:hint="eastAsia" w:ascii="仿宋_GB2312" w:hAnsi="宋体" w:eastAsia="仿宋_GB2312"/>
          <w:color w:val="000000"/>
          <w:sz w:val="32"/>
          <w:szCs w:val="32"/>
        </w:rPr>
        <w:t>户在接收到</w:t>
      </w:r>
      <w:r>
        <w:rPr>
          <w:rFonts w:hint="eastAsia" w:ascii="仿宋_GB2312" w:eastAsia="仿宋_GB2312"/>
          <w:bCs/>
          <w:color w:val="000000"/>
          <w:sz w:val="32"/>
          <w:szCs w:val="32"/>
        </w:rPr>
        <w:t>补贴物资之日起2个月内应将物资全部投入</w:t>
      </w:r>
      <w:r>
        <w:rPr>
          <w:rFonts w:hint="eastAsia" w:ascii="仿宋_GB2312" w:eastAsia="仿宋_GB2312"/>
          <w:color w:val="000000"/>
          <w:sz w:val="32"/>
          <w:szCs w:val="32"/>
        </w:rPr>
        <w:t>基地使用，不得挪作它用。种植户应在投放前2个工作日告知市农业部门</w:t>
      </w:r>
      <w:r>
        <w:rPr>
          <w:rFonts w:hint="eastAsia" w:ascii="仿宋_GB2312" w:eastAsia="仿宋_GB2312"/>
          <w:bCs/>
          <w:color w:val="000000"/>
          <w:sz w:val="32"/>
          <w:szCs w:val="32"/>
        </w:rPr>
        <w:t>。</w:t>
      </w:r>
    </w:p>
    <w:p>
      <w:pPr>
        <w:keepNext w:val="0"/>
        <w:keepLines w:val="0"/>
        <w:pageBreakBefore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bCs/>
          <w:sz w:val="32"/>
          <w:szCs w:val="32"/>
        </w:rPr>
      </w:pPr>
      <w:r>
        <w:rPr>
          <w:rFonts w:hint="eastAsia" w:ascii="仿宋_GB2312" w:eastAsia="仿宋_GB2312"/>
          <w:bCs/>
          <w:sz w:val="32"/>
          <w:szCs w:val="32"/>
        </w:rPr>
        <w:t xml:space="preserve">    2018年8月：撰写总结。</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 xml:space="preserve">    七、主要措施</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楷体_GB2312" w:hAnsi="楷体_GB2312" w:eastAsia="楷体_GB2312" w:cs="楷体_GB2312"/>
          <w:bCs/>
          <w:sz w:val="32"/>
        </w:rPr>
      </w:pPr>
      <w:r>
        <w:rPr>
          <w:rFonts w:hint="eastAsia" w:ascii="楷体_GB2312" w:hAnsi="楷体_GB2312" w:eastAsia="楷体_GB2312" w:cs="楷体_GB2312"/>
          <w:bCs/>
          <w:sz w:val="32"/>
        </w:rPr>
        <w:t>（一）加强领导，明确责任</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eastAsia="仿宋_GB2312"/>
          <w:sz w:val="32"/>
        </w:rPr>
      </w:pPr>
      <w:r>
        <w:rPr>
          <w:rFonts w:hint="eastAsia" w:ascii="仿宋_GB2312" w:eastAsia="仿宋_GB2312"/>
          <w:sz w:val="32"/>
        </w:rPr>
        <w:t>各相关任务区（管委会）要建立相应的组织机构，指定专人负责，组织发动常年蔬菜种植户申报，做好审查推荐公示工作，及时发放补贴物资并登记造册，积极落实常年蔬菜基地建设任务。</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楷体_GB2312" w:hAnsi="楷体_GB2312" w:eastAsia="楷体_GB2312" w:cs="楷体_GB2312"/>
          <w:bCs/>
          <w:sz w:val="32"/>
        </w:rPr>
      </w:pPr>
      <w:r>
        <w:rPr>
          <w:rFonts w:hint="eastAsia" w:ascii="楷体_GB2312" w:hAnsi="楷体_GB2312" w:eastAsia="楷体_GB2312" w:cs="楷体_GB2312"/>
          <w:bCs/>
          <w:sz w:val="32"/>
        </w:rPr>
        <w:t>（二）加强督查落实</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eastAsia="仿宋_GB2312"/>
          <w:sz w:val="32"/>
          <w:szCs w:val="32"/>
        </w:rPr>
      </w:pPr>
      <w:r>
        <w:rPr>
          <w:rFonts w:hint="eastAsia" w:ascii="仿宋_GB2312" w:eastAsia="仿宋_GB2312"/>
          <w:sz w:val="32"/>
        </w:rPr>
        <w:t>建立效能考核机制，各相关任务区每月</w:t>
      </w:r>
      <w:r>
        <w:rPr>
          <w:rFonts w:ascii="仿宋_GB2312" w:eastAsia="仿宋_GB2312"/>
          <w:sz w:val="32"/>
        </w:rPr>
        <w:t>2</w:t>
      </w:r>
      <w:r>
        <w:rPr>
          <w:rFonts w:hint="eastAsia" w:ascii="仿宋_GB2312" w:eastAsia="仿宋_GB2312"/>
          <w:sz w:val="32"/>
        </w:rPr>
        <w:t>日前将上月常年蔬菜基地地力保育工作情况报送市常年蔬菜基地建设领导小组办公室或市农技中心，办公室负责每月汇总、研究一次，每季度实地核查一次，年终考核一次，确保工作落到实处。</w:t>
      </w:r>
      <w:r>
        <w:rPr>
          <w:rFonts w:hint="eastAsia" w:eastAsia="仿宋_GB2312"/>
          <w:sz w:val="32"/>
          <w:szCs w:val="32"/>
        </w:rPr>
        <w:t>项目实施后，做好资料存档。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D5198"/>
    <w:rsid w:val="332D5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2018-02-02T01:45:00Z</dcterms:created>
  <dc:creator>农业局公文收发员</dc:creator>
  <cp:lastModifiedBy>农业局公文收发员</cp:lastModifiedBy>
  <dcterms:modified xsi:type="dcterms:W3CDTF">2018-02-02T01:45:18Z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