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屠宰环节无害化处理病死猪申报表（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2016年12月-2017年11月）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val="en-US" w:eastAsia="zh-CN"/>
        </w:rPr>
        <w:t>日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76"/>
        <w:gridCol w:w="1365"/>
        <w:gridCol w:w="1770"/>
        <w:gridCol w:w="1342"/>
        <w:gridCol w:w="1500"/>
        <w:gridCol w:w="1395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无害化处理数量（头）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进厂前死亡无害化处理数量（头）</w:t>
            </w: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进厂后死亡数量（头）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申报损失补贴数量（头）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需补贴资金（万元）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三亚益民肉联实业有限公司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471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321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15.768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进厂前死亡数量包含天涯屠宰场运来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三亚天涯生猪定点屠宰场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0.64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8头病死猪全部运至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益民屠宰场无害化处理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三亚崖城富泰屠宰场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5.808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三亚海棠湾黎艳肉联厂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0.088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三亚立才农场生猪屠宰厂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0.176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540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321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227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227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22.48</w:t>
            </w:r>
          </w:p>
        </w:tc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color w:val="auto"/>
          <w:kern w:val="0"/>
          <w:sz w:val="32"/>
        </w:rPr>
      </w:pPr>
      <w:r>
        <w:rPr>
          <w:rFonts w:hint="eastAsia"/>
          <w:sz w:val="32"/>
          <w:szCs w:val="32"/>
          <w:lang w:eastAsia="zh-CN"/>
        </w:rPr>
        <w:t>注：无害化处理病死猪补贴资金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540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×80=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43200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元（谁处理补给谁）；无害化处理损失补贴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227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×800=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1816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00元（补给货主）；合计：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4.32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18.16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=</w:t>
      </w:r>
      <w:r>
        <w:rPr>
          <w:rFonts w:hint="eastAsia" w:ascii="Times New Roman" w:hAnsi="Times New Roman" w:cs="Times New Roman"/>
          <w:sz w:val="32"/>
          <w:szCs w:val="32"/>
          <w:vertAlign w:val="baseline"/>
          <w:lang w:val="en-US" w:eastAsia="zh-CN"/>
        </w:rPr>
        <w:t>22.48万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588" w:right="1928" w:bottom="1474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1CF80C47"/>
    <w:rsid w:val="371F14CD"/>
    <w:rsid w:val="55927706"/>
    <w:rsid w:val="59CE4965"/>
    <w:rsid w:val="72272E30"/>
    <w:rsid w:val="7478340C"/>
    <w:rsid w:val="77A45151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2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8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single"/>
    </w:rPr>
  </w:style>
  <w:style w:type="character" w:customStyle="1" w:styleId="8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4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1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2018-01-10T01:03:35Z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