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napToGrid w:val="0"/>
        <w:spacing w:line="660" w:lineRule="exact"/>
        <w:jc w:val="left"/>
        <w:rPr>
          <w:rFonts w:hint="eastAsia"/>
          <w:b/>
          <w:sz w:val="32"/>
          <w:szCs w:val="32"/>
          <w:shd w:val="clear" w:color="auto" w:fill="FFFFFF"/>
        </w:rPr>
      </w:pPr>
      <w:r>
        <w:rPr>
          <w:b/>
          <w:sz w:val="32"/>
          <w:szCs w:val="32"/>
          <w:shd w:val="clear" w:color="auto" w:fill="FFFFFF"/>
        </w:rPr>
        <w:t>附件:</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60" w:lineRule="exact"/>
        <w:jc w:val="left"/>
        <w:rPr>
          <w:b/>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jc w:val="center"/>
        <w:rPr>
          <w:rFonts w:eastAsia="方正小标宋简体"/>
          <w:bCs/>
          <w:sz w:val="44"/>
          <w:szCs w:val="44"/>
          <w:shd w:val="clear" w:color="auto" w:fill="FFFFFF"/>
        </w:rPr>
      </w:pPr>
      <w:r>
        <w:rPr>
          <w:rFonts w:eastAsia="方正小标宋简体"/>
          <w:bCs/>
          <w:sz w:val="44"/>
          <w:szCs w:val="44"/>
          <w:shd w:val="clear" w:color="auto" w:fill="FFFFFF"/>
        </w:rPr>
        <w:t>三亚市农业局</w:t>
      </w:r>
      <w:r>
        <w:rPr>
          <w:rFonts w:hint="eastAsia" w:ascii="方正小标宋简体" w:eastAsia="方正小标宋简体"/>
          <w:bCs/>
          <w:sz w:val="44"/>
          <w:szCs w:val="44"/>
          <w:shd w:val="clear" w:color="auto" w:fill="FFFFFF"/>
        </w:rPr>
        <w:t>2018</w:t>
      </w:r>
      <w:r>
        <w:rPr>
          <w:rFonts w:eastAsia="方正小标宋简体"/>
          <w:bCs/>
          <w:sz w:val="44"/>
          <w:szCs w:val="44"/>
          <w:shd w:val="clear" w:color="auto" w:fill="FFFFFF"/>
        </w:rPr>
        <w:t>年</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jc w:val="center"/>
        <w:rPr>
          <w:rFonts w:eastAsia="方正小标宋简体"/>
          <w:bCs/>
          <w:sz w:val="44"/>
          <w:szCs w:val="44"/>
          <w:shd w:val="clear" w:color="auto" w:fill="FFFFFF"/>
        </w:rPr>
      </w:pPr>
      <w:r>
        <w:rPr>
          <w:rFonts w:eastAsia="方正小标宋简体"/>
          <w:bCs/>
          <w:sz w:val="44"/>
          <w:szCs w:val="44"/>
          <w:shd w:val="clear" w:color="auto" w:fill="FFFFFF"/>
        </w:rPr>
        <w:t>农产品质量安全监督抽查工作方案</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jc w:val="center"/>
        <w:rPr>
          <w:rFonts w:eastAsia="仿宋"/>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napToGrid w:val="0"/>
        <w:spacing w:before="156" w:beforeLines="50" w:line="600" w:lineRule="exact"/>
        <w:rPr>
          <w:rFonts w:eastAsia="仿宋_GB2312"/>
          <w:sz w:val="32"/>
          <w:szCs w:val="32"/>
          <w:shd w:val="clear" w:color="auto" w:fill="FFFFFF"/>
        </w:rPr>
      </w:pPr>
      <w:r>
        <w:rPr>
          <w:rFonts w:eastAsia="仿宋"/>
          <w:sz w:val="32"/>
          <w:szCs w:val="32"/>
          <w:shd w:val="clear" w:color="auto" w:fill="FFFFFF"/>
        </w:rPr>
        <w:t xml:space="preserve">  </w:t>
      </w:r>
      <w:r>
        <w:rPr>
          <w:rFonts w:eastAsia="仿宋_GB2312"/>
          <w:sz w:val="32"/>
          <w:szCs w:val="32"/>
          <w:shd w:val="clear" w:color="auto" w:fill="FFFFFF"/>
        </w:rPr>
        <w:t xml:space="preserve"> 为确保我市农产品质量安全，进一步强化农产品质量安全执法监管，严厉打击各种违法违规行为，保障农产品消费安全，按照农业部、农业厅的要求，</w:t>
      </w:r>
      <w:r>
        <w:rPr>
          <w:rFonts w:eastAsia="仿宋_GB2312"/>
          <w:sz w:val="32"/>
          <w:szCs w:val="32"/>
        </w:rPr>
        <w:t>结合三亚实际情况，</w:t>
      </w:r>
      <w:r>
        <w:rPr>
          <w:rFonts w:eastAsia="仿宋_GB2312"/>
          <w:sz w:val="32"/>
          <w:szCs w:val="32"/>
          <w:shd w:val="clear" w:color="auto" w:fill="FFFFFF"/>
        </w:rPr>
        <w:t>特制定本方案。</w:t>
      </w:r>
    </w:p>
    <w:p>
      <w:pPr>
        <w:numPr>
          <w:ilvl w:val="0"/>
          <w:numId w:val="1"/>
        </w:num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eastAsia="黑体"/>
          <w:sz w:val="32"/>
          <w:szCs w:val="32"/>
          <w:shd w:val="clear" w:color="auto" w:fill="FFFFFF"/>
        </w:rPr>
      </w:pPr>
      <w:r>
        <w:rPr>
          <w:rFonts w:eastAsia="黑体"/>
          <w:sz w:val="32"/>
          <w:szCs w:val="32"/>
          <w:shd w:val="clear" w:color="auto" w:fill="FFFFFF"/>
        </w:rPr>
        <w:t>监督抽查任务承担单位</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eastAsia="黑体"/>
          <w:sz w:val="32"/>
          <w:szCs w:val="32"/>
          <w:shd w:val="clear" w:color="auto" w:fill="FFFFFF"/>
        </w:rPr>
      </w:pPr>
      <w:r>
        <w:rPr>
          <w:rFonts w:eastAsia="仿宋_GB2312"/>
          <w:sz w:val="32"/>
          <w:szCs w:val="32"/>
          <w:shd w:val="clear" w:color="auto" w:fill="FFFFFF"/>
        </w:rPr>
        <w:t>本次监督抽查任务涉及蔬菜、</w:t>
      </w:r>
      <w:r>
        <w:rPr>
          <w:rFonts w:hint="eastAsia" w:ascii="仿宋_GB2312" w:eastAsia="仿宋_GB2312"/>
          <w:sz w:val="32"/>
          <w:szCs w:val="32"/>
          <w:shd w:val="clear" w:color="auto" w:fill="FFFFFF"/>
        </w:rPr>
        <w:t>水果等2个种类。抽样、检测任务委托市现代农业检验检测预警防控中心承担，市农业局安监科协助；执法查处由市农业综合执法支队具体实施；市农业局安监科负责监督抽查工作的组织协调；各区农林局包</w:t>
      </w:r>
      <w:r>
        <w:rPr>
          <w:rFonts w:eastAsia="仿宋_GB2312"/>
          <w:sz w:val="32"/>
          <w:szCs w:val="32"/>
          <w:shd w:val="clear" w:color="auto" w:fill="FFFFFF"/>
        </w:rPr>
        <w:t>括育才生态区经济发展局（以下合称区农林局）、各农场居配合。抽样、检测、复检、异议处理等工作的主要程序与方法严格按照《国家农产品质量安全监督抽查主要程序与方法》执行。</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eastAsia="黑体"/>
          <w:sz w:val="32"/>
          <w:szCs w:val="32"/>
          <w:shd w:val="clear" w:color="auto" w:fill="FFFFFF"/>
        </w:rPr>
      </w:pPr>
      <w:r>
        <w:rPr>
          <w:rFonts w:eastAsia="黑体"/>
          <w:sz w:val="32"/>
          <w:szCs w:val="32"/>
          <w:shd w:val="clear" w:color="auto" w:fill="FFFFFF"/>
        </w:rPr>
        <w:t>　　</w:t>
      </w:r>
      <w:r>
        <w:rPr>
          <w:rFonts w:hint="eastAsia" w:eastAsia="黑体"/>
          <w:sz w:val="32"/>
          <w:szCs w:val="32"/>
          <w:shd w:val="clear" w:color="auto" w:fill="FFFFFF"/>
        </w:rPr>
        <w:t>二、</w:t>
      </w:r>
      <w:r>
        <w:rPr>
          <w:rFonts w:eastAsia="黑体"/>
          <w:sz w:val="32"/>
          <w:szCs w:val="32"/>
          <w:shd w:val="clear" w:color="auto" w:fill="FFFFFF"/>
        </w:rPr>
        <w:t>监督抽查时间、对象、地域、抽样方式及数量</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eastAsia="楷体_GB2312"/>
          <w:sz w:val="32"/>
          <w:szCs w:val="32"/>
          <w:shd w:val="clear" w:color="auto" w:fill="FFFFFF"/>
        </w:rPr>
      </w:pPr>
      <w:r>
        <w:rPr>
          <w:rFonts w:hint="eastAsia" w:eastAsia="楷体_GB2312"/>
          <w:sz w:val="32"/>
          <w:szCs w:val="32"/>
          <w:shd w:val="clear" w:color="auto" w:fill="FFFFFF"/>
        </w:rPr>
        <w:t>（一）</w:t>
      </w:r>
      <w:r>
        <w:rPr>
          <w:rFonts w:eastAsia="楷体_GB2312"/>
          <w:sz w:val="32"/>
          <w:szCs w:val="32"/>
          <w:shd w:val="clear" w:color="auto" w:fill="FFFFFF"/>
        </w:rPr>
        <w:t>抽样时间</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仿宋_GB2312" w:eastAsia="仿宋_GB2312"/>
          <w:sz w:val="32"/>
          <w:szCs w:val="32"/>
          <w:shd w:val="clear" w:color="auto" w:fill="FFFFFF"/>
        </w:rPr>
      </w:pPr>
      <w:r>
        <w:rPr>
          <w:rFonts w:eastAsia="仿宋_GB2312"/>
          <w:b/>
          <w:sz w:val="32"/>
          <w:szCs w:val="32"/>
          <w:shd w:val="clear" w:color="auto" w:fill="FFFFFF"/>
        </w:rPr>
        <w:t>（1）定时</w:t>
      </w:r>
      <w:r>
        <w:rPr>
          <w:rFonts w:eastAsia="仿宋_GB2312"/>
          <w:sz w:val="32"/>
          <w:szCs w:val="32"/>
          <w:shd w:val="clear" w:color="auto" w:fill="FFFFFF"/>
        </w:rPr>
        <w:t>：</w:t>
      </w:r>
      <w:r>
        <w:rPr>
          <w:rFonts w:hint="eastAsia" w:ascii="仿宋_GB2312" w:eastAsia="仿宋_GB2312"/>
          <w:sz w:val="32"/>
          <w:szCs w:val="32"/>
          <w:shd w:val="clear" w:color="auto" w:fill="FFFFFF"/>
        </w:rPr>
        <w:t>抽样时间2018年3月14日-25日；检测时间：2018年3月15日-28日。</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eastAsia="仿宋_GB2312"/>
          <w:sz w:val="32"/>
          <w:szCs w:val="32"/>
          <w:shd w:val="clear" w:color="auto" w:fill="FFFFFF"/>
        </w:rPr>
      </w:pPr>
      <w:r>
        <w:rPr>
          <w:rFonts w:eastAsia="仿宋_GB2312"/>
          <w:b/>
          <w:sz w:val="32"/>
          <w:szCs w:val="32"/>
          <w:shd w:val="clear" w:color="auto" w:fill="FFFFFF"/>
        </w:rPr>
        <w:t>（2）不定时：</w:t>
      </w:r>
      <w:r>
        <w:rPr>
          <w:rFonts w:eastAsia="仿宋_GB2312"/>
          <w:sz w:val="32"/>
          <w:szCs w:val="32"/>
          <w:shd w:val="clear" w:color="auto" w:fill="FFFFFF"/>
        </w:rPr>
        <w:t>例行监测中快速检测呈阳性的样品进行定量检测，定量检测结果显示禁用农药超标的再次进行监督抽查，走监督抽查程序。</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（二）监督抽查对象</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eastAsia="仿宋_GB2312"/>
          <w:sz w:val="32"/>
          <w:szCs w:val="32"/>
          <w:shd w:val="clear" w:color="auto" w:fill="FFFFFF"/>
        </w:rPr>
      </w:pPr>
      <w:r>
        <w:rPr>
          <w:rFonts w:eastAsia="仿宋_GB2312"/>
          <w:sz w:val="32"/>
          <w:szCs w:val="32"/>
          <w:shd w:val="clear" w:color="auto" w:fill="FFFFFF"/>
        </w:rPr>
        <w:t>抽样对象为各单位瓜果菜种植企业、农民专业合作经济社、农民种植大户等。</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（三）监督抽查地域</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eastAsia="仿宋_GB2312"/>
          <w:color w:val="FF0000"/>
          <w:sz w:val="32"/>
          <w:szCs w:val="32"/>
          <w:shd w:val="clear" w:color="auto" w:fill="FFFFFF"/>
        </w:rPr>
      </w:pPr>
      <w:r>
        <w:rPr>
          <w:rFonts w:eastAsia="仿宋_GB2312"/>
          <w:sz w:val="32"/>
          <w:szCs w:val="32"/>
          <w:shd w:val="clear" w:color="auto" w:fill="FFFFFF"/>
        </w:rPr>
        <w:t>崖州区以靠近乐东的梅山为主，天涯区以高峰片区为主，吉阳区以靠近保亭的大茅为主，海棠区以靠近英州的升昌为主，育才区以靠近乐东保国一带为主，并兼顾其它田洋，各农场居随机抽样。</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5"/>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（四）</w:t>
      </w:r>
      <w:r>
        <w:rPr>
          <w:rFonts w:ascii="楷体_GB2312" w:eastAsia="楷体_GB2312"/>
          <w:sz w:val="32"/>
          <w:szCs w:val="32"/>
          <w:shd w:val="clear" w:color="auto" w:fill="FFFFFF"/>
        </w:rPr>
        <w:t>抽样方式</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承担农产品质量安全监督抽查抽样的各部门应严格遵守农产品质量安全监督抽查和“双随机”（《农业部关于印发〈农业部推广随机抽查工作实施方案〉的通知》（农政发〔2015〕4号））的有关要求和规定，严禁选择性抽样，杜绝地方保护主义，确保抽查工作客观、真实、科学。</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（五）</w:t>
      </w:r>
      <w:r>
        <w:rPr>
          <w:rFonts w:ascii="楷体_GB2312" w:eastAsia="楷体_GB2312"/>
          <w:sz w:val="32"/>
          <w:szCs w:val="32"/>
          <w:shd w:val="clear" w:color="auto" w:fill="FFFFFF"/>
        </w:rPr>
        <w:t>抽样数量</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蔬菜抽取74个样品，水果抽取18个样品。其他瓜菜样品数量不够的，均由豇豆代替，豇豆样品不够由苦瓜或辣椒代替。具体抽样数量分配见下表。</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hint="eastAsia" w:ascii="仿宋_GB2312" w:eastAsia="仿宋_GB2312"/>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eastAsia="仿宋_GB2312"/>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jc w:val="center"/>
        <w:rPr>
          <w:rFonts w:hint="eastAsia" w:ascii="黑体" w:hAnsi="黑体" w:eastAsia="黑体"/>
          <w:sz w:val="36"/>
          <w:szCs w:val="32"/>
          <w:shd w:val="clear" w:color="auto" w:fill="FFFFFF"/>
        </w:rPr>
      </w:pPr>
      <w:r>
        <w:rPr>
          <w:rFonts w:hint="eastAsia" w:ascii="黑体" w:hAnsi="黑体" w:eastAsia="黑体"/>
          <w:bCs/>
          <w:sz w:val="36"/>
          <w:szCs w:val="32"/>
          <w:shd w:val="clear" w:color="auto" w:fill="FFFFFF"/>
        </w:rPr>
        <w:t>三亚市2018年农产品质量安全监督抽查样品分配表</w:t>
      </w:r>
    </w:p>
    <w:tbl>
      <w:tblPr>
        <w:tblStyle w:val="6"/>
        <w:tblpPr w:leftFromText="180" w:rightFromText="180" w:vertAnchor="text" w:tblpX="-73" w:tblpY="503"/>
        <w:tblOverlap w:val="never"/>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15"/>
        <w:gridCol w:w="886"/>
        <w:gridCol w:w="850"/>
        <w:gridCol w:w="851"/>
        <w:gridCol w:w="850"/>
        <w:gridCol w:w="851"/>
        <w:gridCol w:w="99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1668" w:type="dxa"/>
            <w:vAlign w:val="center"/>
          </w:tcPr>
          <w:p>
            <w:pPr>
              <w:autoSpaceDN w:val="0"/>
              <w:snapToGrid w:val="0"/>
              <w:spacing w:line="590" w:lineRule="exact"/>
              <w:ind w:firstLine="840" w:firstLineChars="400"/>
              <w:rPr>
                <w:rFonts w:eastAsia="仿宋_GB2312"/>
                <w:szCs w:val="21"/>
                <w:shd w:val="clear" w:color="auto" w:fill="FFFFFF"/>
              </w:rPr>
            </w:pPr>
            <w:r>
              <w:rPr>
                <w:rFonts w:eastAsia="仿宋_GB2312"/>
                <w:szCs w:val="21"/>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33020</wp:posOffset>
                      </wp:positionV>
                      <wp:extent cx="664210" cy="1074420"/>
                      <wp:effectExtent l="3810" t="2540" r="17780" b="8890"/>
                      <wp:wrapNone/>
                      <wp:docPr id="5" name="自选图形 2"/>
                      <wp:cNvGraphicFramePr/>
                      <a:graphic xmlns:a="http://schemas.openxmlformats.org/drawingml/2006/main">
                        <a:graphicData uri="http://schemas.microsoft.com/office/word/2010/wordprocessingShape">
                          <wps:wsp>
                            <wps:cNvCnPr/>
                            <wps:spPr>
                              <a:xfrm>
                                <a:off x="0" y="0"/>
                                <a:ext cx="664210" cy="10744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3.4pt;margin-top:2.6pt;height:84.6pt;width:52.3pt;z-index:251658240;mso-width-relative:page;mso-height-relative:page;" o:connectortype="straight" filled="f" coordsize="21600,21600" o:gfxdata="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OZxB2AAAAAgBAAAP&#10;AAAAAAAAAAEAIAAAACIAAABkcnMvZG93bnJldi54bWxQSwECFAAUAAAACACHTuJAqXXD/d8BAACa&#10;AwAADgAAAAAAAAABACAAAAAnAQAAZHJzL2Uyb0RvYy54bWxQSwUGAAAAAAYABgBZAQAAeAUAAAAA&#10;">
                      <v:path arrowok="t"/>
                      <v:fill on="f" focussize="0,0"/>
                      <v:stroke/>
                      <v:imagedata o:title=""/>
                      <o:lock v:ext="edit"/>
                    </v:shape>
                  </w:pict>
                </mc:Fallback>
              </mc:AlternateContent>
            </w:r>
            <w:r>
              <w:rPr>
                <w:rFonts w:eastAsia="仿宋_GB2312"/>
                <w:szCs w:val="21"/>
                <w:shd w:val="clear" w:color="auto" w:fill="FFFFFF"/>
              </w:rPr>
              <w:t>品种</w:t>
            </w:r>
          </w:p>
          <w:p>
            <w:pPr>
              <w:autoSpaceDN w:val="0"/>
              <w:snapToGrid w:val="0"/>
              <w:spacing w:line="590" w:lineRule="exact"/>
              <w:rPr>
                <w:rFonts w:eastAsia="仿宋_GB2312"/>
                <w:szCs w:val="21"/>
                <w:shd w:val="clear" w:color="auto" w:fill="FFFFFF"/>
              </w:rPr>
            </w:pPr>
            <w:r>
              <w:rPr>
                <w:rFonts w:eastAsia="仿宋_GB2312"/>
                <w:szCs w:val="21"/>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285115</wp:posOffset>
                      </wp:positionV>
                      <wp:extent cx="1019175" cy="445770"/>
                      <wp:effectExtent l="1905" t="4445" r="7620" b="6985"/>
                      <wp:wrapNone/>
                      <wp:docPr id="6" name="自选图形 3"/>
                      <wp:cNvGraphicFramePr/>
                      <a:graphic xmlns:a="http://schemas.openxmlformats.org/drawingml/2006/main">
                        <a:graphicData uri="http://schemas.microsoft.com/office/word/2010/wordprocessingShape">
                          <wps:wsp>
                            <wps:cNvCnPr/>
                            <wps:spPr>
                              <a:xfrm>
                                <a:off x="0" y="0"/>
                                <a:ext cx="1019175" cy="4457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4.65pt;margin-top:22.45pt;height:35.1pt;width:80.25pt;z-index:251659264;mso-width-relative:page;mso-height-relative:page;" o:connectortype="straight" filled="f" coordsize="21600,21600" o:gfxdata="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MIi9gAAAAJAQAA&#10;DwAAAAAAAAABACAAAAAiAAAAZHJzL2Rvd25yZXYueG1sUEsBAhQAFAAAAAgAh07iQNJCtIvgAQAA&#10;mgMAAA4AAAAAAAAAAQAgAAAAJwEAAGRycy9lMm9Eb2MueG1sUEsFBgAAAAAGAAYAWQEAAHkFAAAA&#10;AA==&#10;">
                      <v:path arrowok="t"/>
                      <v:fill on="f" focussize="0,0"/>
                      <v:stroke/>
                      <v:imagedata o:title=""/>
                      <o:lock v:ext="edit"/>
                    </v:shape>
                  </w:pict>
                </mc:Fallback>
              </mc:AlternateContent>
            </w:r>
            <w:r>
              <w:rPr>
                <w:rFonts w:eastAsia="仿宋_GB2312"/>
                <w:szCs w:val="21"/>
                <w:shd w:val="clear" w:color="auto" w:fill="FFFFFF"/>
              </w:rPr>
              <w:t>数量（个）</w:t>
            </w:r>
          </w:p>
          <w:p>
            <w:pPr>
              <w:autoSpaceDN w:val="0"/>
              <w:snapToGrid w:val="0"/>
              <w:spacing w:line="590" w:lineRule="exact"/>
              <w:rPr>
                <w:rFonts w:eastAsia="仿宋_GB2312"/>
                <w:szCs w:val="21"/>
                <w:shd w:val="clear" w:color="auto" w:fill="FFFFFF"/>
              </w:rPr>
            </w:pPr>
            <w:r>
              <w:rPr>
                <w:rFonts w:eastAsia="仿宋_GB2312"/>
                <w:szCs w:val="21"/>
                <w:shd w:val="clear" w:color="auto" w:fill="FFFFFF"/>
              </w:rPr>
              <w:t xml:space="preserve"> 单位</w:t>
            </w:r>
          </w:p>
        </w:tc>
        <w:tc>
          <w:tcPr>
            <w:tcW w:w="815"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豇豆</w:t>
            </w:r>
          </w:p>
        </w:tc>
        <w:tc>
          <w:tcPr>
            <w:tcW w:w="886"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苦瓜</w:t>
            </w:r>
          </w:p>
        </w:tc>
        <w:tc>
          <w:tcPr>
            <w:tcW w:w="850"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青瓜</w:t>
            </w:r>
          </w:p>
        </w:tc>
        <w:tc>
          <w:tcPr>
            <w:tcW w:w="851"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丝瓜</w:t>
            </w:r>
          </w:p>
        </w:tc>
        <w:tc>
          <w:tcPr>
            <w:tcW w:w="850"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辣椒</w:t>
            </w:r>
          </w:p>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或</w:t>
            </w:r>
          </w:p>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茄子</w:t>
            </w:r>
          </w:p>
        </w:tc>
        <w:tc>
          <w:tcPr>
            <w:tcW w:w="851"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水果</w:t>
            </w:r>
          </w:p>
        </w:tc>
        <w:tc>
          <w:tcPr>
            <w:tcW w:w="992"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合计（个）</w:t>
            </w:r>
          </w:p>
        </w:tc>
        <w:tc>
          <w:tcPr>
            <w:tcW w:w="1702" w:type="dxa"/>
            <w:vAlign w:val="center"/>
          </w:tcPr>
          <w:p>
            <w:pPr>
              <w:autoSpaceDN w:val="0"/>
              <w:snapToGrid w:val="0"/>
              <w:spacing w:line="590" w:lineRule="exact"/>
              <w:jc w:val="center"/>
              <w:rPr>
                <w:rFonts w:eastAsia="仿宋_GB2312"/>
                <w:szCs w:val="21"/>
                <w:shd w:val="clear" w:color="auto" w:fill="FFFFFF"/>
              </w:rPr>
            </w:pPr>
            <w:r>
              <w:rPr>
                <w:rFonts w:eastAsia="仿宋_GB2312"/>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崖州区</w:t>
            </w:r>
          </w:p>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（包括南滨居）</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8</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4</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20</w:t>
            </w:r>
          </w:p>
        </w:tc>
        <w:tc>
          <w:tcPr>
            <w:tcW w:w="1702" w:type="dxa"/>
            <w:vAlign w:val="center"/>
          </w:tcPr>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梅山片区10个，</w:t>
            </w:r>
          </w:p>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其它田洋10个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天涯区</w:t>
            </w:r>
          </w:p>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（包括南岛居）</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8</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4</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20</w:t>
            </w:r>
          </w:p>
        </w:tc>
        <w:tc>
          <w:tcPr>
            <w:tcW w:w="1702" w:type="dxa"/>
            <w:vAlign w:val="center"/>
          </w:tcPr>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高峰片区10个，</w:t>
            </w:r>
          </w:p>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其它田洋10个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吉阳区</w:t>
            </w:r>
          </w:p>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（包括南新居）</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6</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4</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18</w:t>
            </w:r>
          </w:p>
        </w:tc>
        <w:tc>
          <w:tcPr>
            <w:tcW w:w="1702" w:type="dxa"/>
            <w:vAlign w:val="center"/>
          </w:tcPr>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大茅片区10个，其它田洋8个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海棠区</w:t>
            </w:r>
          </w:p>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（包括南田居）</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6</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4</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18</w:t>
            </w:r>
          </w:p>
        </w:tc>
        <w:tc>
          <w:tcPr>
            <w:tcW w:w="1702" w:type="dxa"/>
            <w:vAlign w:val="center"/>
          </w:tcPr>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升昌片区10个，其它田洋8个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育才生态区</w:t>
            </w:r>
          </w:p>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（包括立才居）</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6</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2</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16</w:t>
            </w:r>
          </w:p>
        </w:tc>
        <w:tc>
          <w:tcPr>
            <w:tcW w:w="1702" w:type="dxa"/>
            <w:vAlign w:val="center"/>
          </w:tcPr>
          <w:p>
            <w:pPr>
              <w:autoSpaceDN w:val="0"/>
              <w:snapToGrid w:val="0"/>
              <w:spacing w:line="30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近保国片区8个，其它田洋8个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668" w:type="dxa"/>
            <w:vAlign w:val="center"/>
          </w:tcPr>
          <w:p>
            <w:pPr>
              <w:autoSpaceDN w:val="0"/>
              <w:snapToGrid w:val="0"/>
              <w:spacing w:line="460" w:lineRule="exact"/>
              <w:jc w:val="center"/>
              <w:rPr>
                <w:rFonts w:eastAsia="仿宋_GB2312"/>
                <w:szCs w:val="21"/>
                <w:shd w:val="clear" w:color="auto" w:fill="FFFFFF"/>
              </w:rPr>
            </w:pPr>
            <w:r>
              <w:rPr>
                <w:rFonts w:eastAsia="仿宋_GB2312"/>
                <w:szCs w:val="21"/>
                <w:shd w:val="clear" w:color="auto" w:fill="FFFFFF"/>
              </w:rPr>
              <w:t>合计</w:t>
            </w:r>
          </w:p>
        </w:tc>
        <w:tc>
          <w:tcPr>
            <w:tcW w:w="815"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34</w:t>
            </w:r>
          </w:p>
        </w:tc>
        <w:tc>
          <w:tcPr>
            <w:tcW w:w="886"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10</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10</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10</w:t>
            </w:r>
          </w:p>
        </w:tc>
        <w:tc>
          <w:tcPr>
            <w:tcW w:w="850"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10</w:t>
            </w:r>
          </w:p>
        </w:tc>
        <w:tc>
          <w:tcPr>
            <w:tcW w:w="851"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18</w:t>
            </w:r>
          </w:p>
        </w:tc>
        <w:tc>
          <w:tcPr>
            <w:tcW w:w="992" w:type="dxa"/>
            <w:vAlign w:val="center"/>
          </w:tcPr>
          <w:p>
            <w:pPr>
              <w:autoSpaceDN w:val="0"/>
              <w:snapToGrid w:val="0"/>
              <w:spacing w:line="460" w:lineRule="exact"/>
              <w:jc w:val="center"/>
              <w:rPr>
                <w:rFonts w:hint="eastAsia" w:ascii="仿宋_GB2312" w:eastAsia="仿宋_GB2312"/>
                <w:szCs w:val="21"/>
                <w:shd w:val="clear" w:color="auto" w:fill="FFFFFF"/>
              </w:rPr>
            </w:pPr>
            <w:r>
              <w:rPr>
                <w:rFonts w:hint="eastAsia" w:ascii="仿宋_GB2312" w:eastAsia="仿宋_GB2312"/>
                <w:szCs w:val="21"/>
                <w:shd w:val="clear" w:color="auto" w:fill="FFFFFF"/>
              </w:rPr>
              <w:t>92</w:t>
            </w:r>
          </w:p>
        </w:tc>
        <w:tc>
          <w:tcPr>
            <w:tcW w:w="1702" w:type="dxa"/>
            <w:vAlign w:val="center"/>
          </w:tcPr>
          <w:p>
            <w:pPr>
              <w:autoSpaceDN w:val="0"/>
              <w:snapToGrid w:val="0"/>
              <w:spacing w:line="460" w:lineRule="exact"/>
              <w:jc w:val="center"/>
              <w:rPr>
                <w:rFonts w:hint="eastAsia" w:ascii="仿宋_GB2312" w:eastAsia="仿宋_GB2312"/>
                <w:szCs w:val="21"/>
                <w:shd w:val="clear" w:color="auto" w:fill="FFFFFF"/>
              </w:rPr>
            </w:pPr>
          </w:p>
        </w:tc>
      </w:tr>
    </w:tbl>
    <w:p>
      <w:pPr>
        <w:pBdr>
          <w:top w:val="none" w:color="000000" w:sz="0" w:space="0"/>
          <w:left w:val="none" w:color="000000" w:sz="0" w:space="0"/>
          <w:bottom w:val="none" w:color="000000" w:sz="0" w:space="0"/>
          <w:right w:val="none" w:color="000000" w:sz="0" w:space="0"/>
        </w:pBdr>
        <w:shd w:val="solid" w:color="FFFFFF" w:fill="auto"/>
        <w:autoSpaceDN w:val="0"/>
        <w:snapToGrid w:val="0"/>
        <w:spacing w:line="560" w:lineRule="exact"/>
        <w:rPr>
          <w:rFonts w:eastAsia="黑体"/>
          <w:sz w:val="32"/>
          <w:szCs w:val="32"/>
          <w:shd w:val="clear" w:color="auto" w:fill="FFFFFF"/>
        </w:rPr>
      </w:pPr>
      <w:r>
        <w:rPr>
          <w:rFonts w:eastAsia="黑体"/>
          <w:sz w:val="32"/>
          <w:szCs w:val="32"/>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eastAsia="黑体"/>
          <w:sz w:val="32"/>
          <w:szCs w:val="32"/>
          <w:shd w:val="clear" w:color="auto" w:fill="FFFFFF"/>
        </w:rPr>
      </w:pPr>
      <w:r>
        <w:rPr>
          <w:rFonts w:eastAsia="黑体"/>
          <w:sz w:val="32"/>
          <w:szCs w:val="32"/>
          <w:shd w:val="clear" w:color="auto" w:fill="FFFFFF"/>
        </w:rPr>
        <w:t xml:space="preserve">    </w:t>
      </w:r>
      <w:r>
        <w:rPr>
          <w:rFonts w:hint="eastAsia" w:eastAsia="黑体"/>
          <w:sz w:val="32"/>
          <w:szCs w:val="32"/>
          <w:shd w:val="clear" w:color="auto" w:fill="FFFFFF"/>
        </w:rPr>
        <w:t>三</w:t>
      </w:r>
      <w:r>
        <w:rPr>
          <w:rFonts w:eastAsia="黑体"/>
          <w:sz w:val="32"/>
          <w:szCs w:val="32"/>
          <w:shd w:val="clear" w:color="auto" w:fill="FFFFFF"/>
        </w:rPr>
        <w:t>、检测方法及判定依据</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本次监督抽查各个种类重点监测项目、检测方法及判定依据，严格按照《农业部关于开展2016年第二次国家农产品质量安全监督抽查工作的通知》中的规定执行。</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监测项目以三亚市现代农业检验检测预警防控中心获得资质认证的44个项目为主，即：甲胺磷、乙酰甲胺磷、氧乐果、乐果、水胺硫磷、丙溴磷、治螟磷、三唑磷、毒死蜱、对硫磷、甲基对硫磷、地虫硫磷、特丁硫磷、久效磷、甲拌磷、磷胺、敌敌畏、甲基硫环磷、马拉硫磷、二嗪磷、杀螟硫磷、伏杀硫磷、亚胺硫磷、硫环磷、杀扑磷、克百威、灭多威、仲丁威、涕灭威、甲萘威、六六六、滴滴涕、百菌清、溴氰菊酯、氰戊菊酯、腐霉利、联苯菊酯、氯氟氰菊酯、氯氰菊酯、三氯杀螨醇、甲氰菊酯、氟氯氰菊酯、五氯硝基苯、三唑酮。</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检测依据：GB 2763-2016。</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判定依据：GB2763-2016、琼农字〔2017〕81号通告、农业部第2032号公告。</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eastAsia="黑体"/>
          <w:sz w:val="32"/>
          <w:szCs w:val="32"/>
          <w:shd w:val="clear" w:color="auto" w:fill="FFFFFF"/>
        </w:rPr>
      </w:pPr>
      <w:r>
        <w:rPr>
          <w:rFonts w:eastAsia="黑体"/>
          <w:sz w:val="32"/>
          <w:szCs w:val="32"/>
          <w:shd w:val="clear" w:color="auto" w:fill="FFFFFF"/>
        </w:rPr>
        <w:t>　　</w:t>
      </w:r>
      <w:r>
        <w:rPr>
          <w:rFonts w:hint="eastAsia" w:eastAsia="黑体"/>
          <w:sz w:val="32"/>
          <w:szCs w:val="32"/>
          <w:shd w:val="clear" w:color="auto" w:fill="FFFFFF"/>
        </w:rPr>
        <w:t>四</w:t>
      </w:r>
      <w:r>
        <w:rPr>
          <w:rFonts w:eastAsia="黑体"/>
          <w:sz w:val="32"/>
          <w:szCs w:val="32"/>
          <w:shd w:val="clear" w:color="auto" w:fill="FFFFFF"/>
        </w:rPr>
        <w:t>、执法查处</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rPr>
          <w:rFonts w:eastAsia="仿宋_GB2312"/>
          <w:sz w:val="32"/>
          <w:szCs w:val="32"/>
          <w:shd w:val="clear" w:color="auto" w:fill="FFFFFF"/>
        </w:rPr>
      </w:pPr>
      <w:r>
        <w:rPr>
          <w:rFonts w:eastAsia="仿宋_GB2312"/>
          <w:sz w:val="32"/>
          <w:szCs w:val="32"/>
          <w:shd w:val="clear" w:color="auto" w:fill="FFFFFF"/>
        </w:rPr>
        <w:t>坚持问题导向，强化“检打联动”，对于抽查不合格的每一个样品，市农业局将立即启动执法程序，及时掌握证据，纠正和查处违法违规行为。涉嫌犯罪的，及时移交司法机关进行查处。</w:t>
      </w:r>
    </w:p>
    <w:p>
      <w:pPr>
        <w:pStyle w:val="7"/>
        <w:widowControl w:val="0"/>
        <w:snapToGrid w:val="0"/>
        <w:spacing w:before="0" w:beforeAutospacing="0" w:after="0" w:afterAutospacing="0" w:line="60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shd w:val="clear" w:color="auto" w:fill="FFFFFF"/>
        </w:rPr>
        <w:t>五</w:t>
      </w:r>
      <w:r>
        <w:rPr>
          <w:rFonts w:ascii="Times New Roman" w:hAnsi="Times New Roman" w:eastAsia="黑体" w:cs="Times New Roman"/>
          <w:sz w:val="32"/>
          <w:szCs w:val="32"/>
          <w:shd w:val="clear" w:color="auto" w:fill="FFFFFF"/>
        </w:rPr>
        <w:t>、</w:t>
      </w:r>
      <w:r>
        <w:rPr>
          <w:rFonts w:ascii="Times New Roman" w:hAnsi="Times New Roman" w:eastAsia="黑体" w:cs="Times New Roman"/>
          <w:sz w:val="32"/>
          <w:szCs w:val="32"/>
        </w:rPr>
        <w:t>结果报送与告知</w:t>
      </w:r>
    </w:p>
    <w:p>
      <w:pPr>
        <w:pStyle w:val="7"/>
        <w:widowControl w:val="0"/>
        <w:snapToGrid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shd w:val="clear" w:color="auto" w:fill="FFFFFF"/>
        </w:rPr>
      </w:pPr>
      <w:r>
        <w:rPr>
          <w:rFonts w:ascii="Times New Roman" w:hAnsi="Times New Roman" w:eastAsia="楷体_GB2312" w:cs="Times New Roman"/>
          <w:kern w:val="2"/>
          <w:sz w:val="32"/>
          <w:szCs w:val="32"/>
          <w:shd w:val="clear" w:color="auto" w:fill="FFFFFF"/>
        </w:rPr>
        <w:t>（一）定时检测：</w:t>
      </w:r>
      <w:r>
        <w:rPr>
          <w:rFonts w:hint="eastAsia" w:ascii="仿宋_GB2312" w:hAnsi="Times New Roman" w:eastAsia="仿宋_GB2312" w:cs="Times New Roman"/>
          <w:kern w:val="2"/>
          <w:sz w:val="32"/>
          <w:szCs w:val="32"/>
          <w:shd w:val="clear" w:color="auto" w:fill="FFFFFF"/>
        </w:rPr>
        <w:t>市现代农业检验检测预警防控中心应于2018年4月5日前，将监督抽查结果汇总表报送市农业局</w:t>
      </w:r>
      <w:r>
        <w:rPr>
          <w:rFonts w:ascii="Times New Roman" w:hAnsi="Times New Roman" w:eastAsia="仿宋_GB2312" w:cs="Times New Roman"/>
          <w:kern w:val="2"/>
          <w:sz w:val="32"/>
          <w:szCs w:val="32"/>
          <w:shd w:val="clear" w:color="auto" w:fill="FFFFFF"/>
        </w:rPr>
        <w:t>。</w:t>
      </w:r>
    </w:p>
    <w:p>
      <w:pPr>
        <w:pStyle w:val="7"/>
        <w:widowControl w:val="0"/>
        <w:snapToGrid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shd w:val="clear" w:color="auto" w:fill="FFFFFF"/>
        </w:rPr>
      </w:pPr>
      <w:r>
        <w:rPr>
          <w:rFonts w:ascii="Times New Roman" w:hAnsi="Times New Roman" w:eastAsia="楷体_GB2312" w:cs="Times New Roman"/>
          <w:kern w:val="2"/>
          <w:sz w:val="32"/>
          <w:szCs w:val="32"/>
          <w:shd w:val="clear" w:color="auto" w:fill="FFFFFF"/>
        </w:rPr>
        <w:t>（二）不定时检测：</w:t>
      </w:r>
      <w:r>
        <w:rPr>
          <w:rFonts w:hint="eastAsia" w:ascii="仿宋_GB2312" w:hAnsi="Times New Roman" w:eastAsia="仿宋_GB2312" w:cs="Times New Roman"/>
          <w:kern w:val="2"/>
          <w:sz w:val="32"/>
          <w:szCs w:val="32"/>
          <w:shd w:val="clear" w:color="auto" w:fill="FFFFFF"/>
        </w:rPr>
        <w:t>例行监测出现问题的样品，重新采样，实行监督抽查。接收样品后，市现代农业检验检测预警防控中心应于48小时内将检测结果报市农业局，72小时内出具检测报告。</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、有关要求</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ind w:firstLine="640" w:firstLineChars="200"/>
        <w:rPr>
          <w:rFonts w:eastAsia="仿宋_GB2312"/>
          <w:sz w:val="32"/>
          <w:szCs w:val="32"/>
          <w:shd w:val="clear" w:color="auto" w:fill="FFFFFF"/>
        </w:rPr>
      </w:pPr>
      <w:r>
        <w:rPr>
          <w:rFonts w:eastAsia="楷体_GB2312"/>
          <w:sz w:val="32"/>
          <w:szCs w:val="32"/>
          <w:shd w:val="clear" w:color="auto" w:fill="FFFFFF"/>
        </w:rPr>
        <w:t>（</w:t>
      </w:r>
      <w:r>
        <w:rPr>
          <w:rFonts w:eastAsia="楷体_GB2312"/>
          <w:sz w:val="32"/>
          <w:szCs w:val="32"/>
        </w:rPr>
        <w:t>一</w:t>
      </w:r>
      <w:r>
        <w:rPr>
          <w:rFonts w:eastAsia="楷体_GB2312"/>
          <w:sz w:val="32"/>
          <w:szCs w:val="32"/>
          <w:shd w:val="clear" w:color="auto" w:fill="FFFFFF"/>
        </w:rPr>
        <w:t>）</w:t>
      </w:r>
      <w:r>
        <w:rPr>
          <w:rFonts w:eastAsia="楷体_GB2312"/>
          <w:sz w:val="32"/>
          <w:szCs w:val="32"/>
        </w:rPr>
        <w:t>高度重视，确保任务完成。</w:t>
      </w:r>
      <w:r>
        <w:rPr>
          <w:rFonts w:eastAsia="仿宋_GB2312"/>
          <w:sz w:val="32"/>
          <w:szCs w:val="32"/>
          <w:shd w:val="clear" w:color="auto" w:fill="FFFFFF"/>
        </w:rPr>
        <w:t>承担任务的各有关单位和部门，要高度重视本次农产品质量安全监督抽查工作，落实责任，统筹工作，确保任务圆满完成。</w:t>
      </w:r>
    </w:p>
    <w:p>
      <w:pPr>
        <w:pStyle w:val="9"/>
        <w:snapToGrid w:val="0"/>
        <w:spacing w:line="600" w:lineRule="exact"/>
        <w:ind w:firstLine="640" w:firstLineChars="200"/>
        <w:rPr>
          <w:rFonts w:eastAsia="仿宋_GB2312" w:cs="Times New Roman"/>
          <w:sz w:val="32"/>
          <w:szCs w:val="32"/>
          <w:shd w:val="clear" w:color="auto" w:fill="FFFFFF"/>
        </w:rPr>
      </w:pPr>
      <w:r>
        <w:rPr>
          <w:rFonts w:eastAsia="楷体_GB2312" w:cs="Times New Roman"/>
          <w:sz w:val="32"/>
          <w:szCs w:val="32"/>
        </w:rPr>
        <w:t>（二）遵规守纪，严格规范实施。</w:t>
      </w:r>
      <w:r>
        <w:rPr>
          <w:rFonts w:eastAsia="仿宋_GB2312" w:cs="Times New Roman"/>
          <w:sz w:val="32"/>
          <w:szCs w:val="32"/>
          <w:shd w:val="clear" w:color="auto" w:fill="FFFFFF"/>
        </w:rPr>
        <w:t>承担任务的各有关单位和部门，要严格落实农产品质量安全监督抽查工作的有关要求和规定，依法依规开展监督抽查的取样、检测、执法等各环节工作，确保抽查工作客观、真实、科学、规范。</w:t>
      </w:r>
    </w:p>
    <w:p>
      <w:pPr>
        <w:pStyle w:val="9"/>
        <w:snapToGrid w:val="0"/>
        <w:spacing w:line="600" w:lineRule="exact"/>
        <w:ind w:firstLine="640" w:firstLineChars="200"/>
        <w:rPr>
          <w:rFonts w:eastAsia="仿宋_GB2312" w:cs="Times New Roman"/>
          <w:sz w:val="32"/>
          <w:szCs w:val="32"/>
          <w:shd w:val="clear" w:color="auto" w:fill="FFFFFF"/>
        </w:rPr>
      </w:pPr>
      <w:r>
        <w:rPr>
          <w:rFonts w:eastAsia="楷体_GB2312" w:cs="Times New Roman"/>
          <w:sz w:val="32"/>
          <w:szCs w:val="32"/>
        </w:rPr>
        <w:t>（三）加强执法，确保取得实效。</w:t>
      </w:r>
      <w:r>
        <w:rPr>
          <w:rFonts w:eastAsia="仿宋_GB2312" w:cs="Times New Roman"/>
          <w:sz w:val="32"/>
          <w:szCs w:val="32"/>
          <w:shd w:val="clear" w:color="auto" w:fill="FFFFFF"/>
        </w:rPr>
        <w:t>对监督抽查中发现的不合格产品，及时查清生产经营过程中的违法违规行为，跟进开展农产品质量安全执法，对符合行刑衔接条件的要及时移送司法机关，加大打击与震慑力度。对于监督抽查发现的不合格样品，不及时开展执法查处或执法查处不力的，要坚决追究相关责任人的责任。</w:t>
      </w:r>
    </w:p>
    <w:p>
      <w:pPr>
        <w:pStyle w:val="9"/>
        <w:snapToGrid w:val="0"/>
        <w:spacing w:line="600" w:lineRule="exact"/>
        <w:ind w:firstLine="640" w:firstLineChars="200"/>
        <w:rPr>
          <w:rFonts w:eastAsia="仿宋_GB2312" w:cs="Times New Roman"/>
          <w:sz w:val="32"/>
          <w:szCs w:val="32"/>
          <w:shd w:val="clear" w:color="auto" w:fill="FFFFFF"/>
        </w:rPr>
      </w:pPr>
      <w:r>
        <w:rPr>
          <w:rFonts w:eastAsia="楷体_GB2312" w:cs="Times New Roman"/>
          <w:sz w:val="32"/>
          <w:szCs w:val="32"/>
        </w:rPr>
        <w:t>（四）跟踪分析，消除深层隐患。</w:t>
      </w:r>
      <w:r>
        <w:rPr>
          <w:rFonts w:eastAsia="仿宋_GB2312" w:cs="Times New Roman"/>
          <w:sz w:val="32"/>
          <w:szCs w:val="32"/>
          <w:shd w:val="clear" w:color="auto" w:fill="FFFFFF"/>
        </w:rPr>
        <w:t>对于不合格样本要深入开展“问题链”跟踪分析，必须查明问题产生的原因，并针对问题原因联合各相关单位和部门采取有力措施，进行深入整改，从根本上消除问题隐患，确保农产品质量安全。</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eastAsia="仿宋_GB2312"/>
          <w:sz w:val="32"/>
          <w:szCs w:val="32"/>
          <w:shd w:val="clear" w:color="auto" w:fill="FFFFFF"/>
        </w:rPr>
      </w:pPr>
      <w:r>
        <w:rPr>
          <w:rFonts w:eastAsia="仿宋_GB2312"/>
          <w:sz w:val="32"/>
          <w:szCs w:val="32"/>
          <w:shd w:val="clear" w:color="auto" w:fill="FFFFFF"/>
        </w:rPr>
        <w:t xml:space="preserve">    在监督抽查工作中如有问题和建议，请及时与市农业局联系。</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联系人：宋宏，联系电话：88266290。</w:t>
      </w:r>
    </w:p>
    <w:p>
      <w:pPr>
        <w:pBdr>
          <w:top w:val="none" w:color="000000" w:sz="0" w:space="0"/>
          <w:left w:val="none" w:color="000000" w:sz="0" w:space="0"/>
          <w:bottom w:val="none" w:color="000000" w:sz="0" w:space="0"/>
          <w:right w:val="none" w:color="000000" w:sz="0" w:space="0"/>
        </w:pBdr>
        <w:shd w:val="solid" w:color="FFFFFF" w:fill="auto"/>
        <w:autoSpaceDN w:val="0"/>
        <w:snapToGrid w:val="0"/>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E - mail：synyaj88266290</w:t>
      </w:r>
      <w:r>
        <w:rPr>
          <w:rFonts w:hint="eastAsia" w:ascii="宋体" w:hAnsi="宋体"/>
          <w:sz w:val="32"/>
          <w:szCs w:val="32"/>
          <w:shd w:val="clear" w:color="auto" w:fill="FFFFFF"/>
        </w:rPr>
        <w:t>@</w:t>
      </w:r>
      <w:r>
        <w:rPr>
          <w:rFonts w:hint="eastAsia" w:ascii="仿宋_GB2312" w:eastAsia="仿宋_GB2312"/>
          <w:sz w:val="32"/>
          <w:szCs w:val="32"/>
          <w:shd w:val="clear" w:color="auto" w:fill="FFFFFF"/>
        </w:rPr>
        <w:t>163.com。</w:t>
      </w:r>
    </w:p>
    <w:p>
      <w:bookmarkStart w:id="0" w:name="_GoBack"/>
      <w:bookmarkEnd w:id="0"/>
    </w:p>
    <w:sectPr>
      <w:headerReference r:id="rId3" w:type="default"/>
      <w:footerReference r:id="rId5" w:type="default"/>
      <w:headerReference r:id="rId4" w:type="even"/>
      <w:footerReference r:id="rId6" w:type="even"/>
      <w:pgSz w:w="11906" w:h="16838"/>
      <w:pgMar w:top="2024" w:right="1406" w:bottom="1559"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widowControl/>
                            <w:rPr>
                              <w:rFonts w:hint="eastAsia" w:ascii="仿宋_GB2312" w:eastAsia="仿宋_GB2312"/>
                            </w:rPr>
                          </w:pPr>
                          <w:r>
                            <w:rPr>
                              <w:rStyle w:val="5"/>
                              <w:rFonts w:hint="eastAsia" w:ascii="仿宋_GB2312" w:eastAsia="仿宋_GB2312"/>
                              <w:sz w:val="28"/>
                            </w:rPr>
                            <w:t xml:space="preserve">— </w:t>
                          </w:r>
                          <w:r>
                            <w:rPr>
                              <w:rFonts w:hint="eastAsia" w:ascii="仿宋_GB2312" w:eastAsia="仿宋_GB2312"/>
                              <w:sz w:val="28"/>
                            </w:rPr>
                            <w:fldChar w:fldCharType="begin"/>
                          </w:r>
                          <w:r>
                            <w:rPr>
                              <w:rStyle w:val="5"/>
                              <w:rFonts w:hint="eastAsia" w:ascii="仿宋_GB2312" w:eastAsia="仿宋_GB2312"/>
                              <w:sz w:val="28"/>
                            </w:rPr>
                            <w:instrText xml:space="preserve">PAGE  </w:instrText>
                          </w:r>
                          <w:r>
                            <w:rPr>
                              <w:rFonts w:hint="eastAsia" w:ascii="仿宋_GB2312" w:eastAsia="仿宋_GB2312"/>
                              <w:sz w:val="28"/>
                            </w:rPr>
                            <w:fldChar w:fldCharType="separate"/>
                          </w:r>
                          <w:r>
                            <w:rPr>
                              <w:rStyle w:val="5"/>
                              <w:rFonts w:ascii="仿宋_GB2312" w:eastAsia="仿宋_GB2312"/>
                              <w:sz w:val="28"/>
                            </w:rPr>
                            <w:t>7</w:t>
                          </w:r>
                          <w:r>
                            <w:rPr>
                              <w:rFonts w:hint="eastAsia" w:ascii="仿宋_GB2312" w:eastAsia="仿宋_GB2312"/>
                              <w:sz w:val="28"/>
                            </w:rPr>
                            <w:fldChar w:fldCharType="end"/>
                          </w:r>
                          <w:r>
                            <w:rPr>
                              <w:rStyle w:val="5"/>
                              <w:rFonts w:hint="eastAsia" w:ascii="仿宋_GB2312" w:eastAsia="仿宋_GB2312"/>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v:fill on="f" focussize="0,0"/>
              <v:stroke on="f" weight="0.5pt"/>
              <v:imagedata o:title=""/>
              <o:lock v:ext="edit" aspectratio="f"/>
              <v:textbox inset="0mm,0mm,0mm,0mm" style="mso-fit-shape-to-text:t;">
                <w:txbxContent>
                  <w:p>
                    <w:pPr>
                      <w:pStyle w:val="2"/>
                      <w:widowControl/>
                      <w:rPr>
                        <w:rFonts w:hint="eastAsia" w:ascii="仿宋_GB2312" w:eastAsia="仿宋_GB2312"/>
                      </w:rPr>
                    </w:pPr>
                    <w:r>
                      <w:rPr>
                        <w:rStyle w:val="5"/>
                        <w:rFonts w:hint="eastAsia" w:ascii="仿宋_GB2312" w:eastAsia="仿宋_GB2312"/>
                        <w:sz w:val="28"/>
                      </w:rPr>
                      <w:t xml:space="preserve">— </w:t>
                    </w:r>
                    <w:r>
                      <w:rPr>
                        <w:rFonts w:hint="eastAsia" w:ascii="仿宋_GB2312" w:eastAsia="仿宋_GB2312"/>
                        <w:sz w:val="28"/>
                      </w:rPr>
                      <w:fldChar w:fldCharType="begin"/>
                    </w:r>
                    <w:r>
                      <w:rPr>
                        <w:rStyle w:val="5"/>
                        <w:rFonts w:hint="eastAsia" w:ascii="仿宋_GB2312" w:eastAsia="仿宋_GB2312"/>
                        <w:sz w:val="28"/>
                      </w:rPr>
                      <w:instrText xml:space="preserve">PAGE  </w:instrText>
                    </w:r>
                    <w:r>
                      <w:rPr>
                        <w:rFonts w:hint="eastAsia" w:ascii="仿宋_GB2312" w:eastAsia="仿宋_GB2312"/>
                        <w:sz w:val="28"/>
                      </w:rPr>
                      <w:fldChar w:fldCharType="separate"/>
                    </w:r>
                    <w:r>
                      <w:rPr>
                        <w:rStyle w:val="5"/>
                        <w:rFonts w:ascii="仿宋_GB2312" w:eastAsia="仿宋_GB2312"/>
                        <w:sz w:val="28"/>
                      </w:rPr>
                      <w:t>7</w:t>
                    </w:r>
                    <w:r>
                      <w:rPr>
                        <w:rFonts w:hint="eastAsia" w:ascii="仿宋_GB2312" w:eastAsia="仿宋_GB2312"/>
                        <w:sz w:val="28"/>
                      </w:rPr>
                      <w:fldChar w:fldCharType="end"/>
                    </w:r>
                    <w:r>
                      <w:rPr>
                        <w:rStyle w:val="5"/>
                        <w:rFonts w:hint="eastAsia" w:ascii="仿宋_GB2312" w:eastAsia="仿宋_GB2312"/>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127"/>
        <w:tab w:val="right" w:pos="8534"/>
      </w:tabs>
      <w:ind w:left="210" w:leftChars="100" w:right="510" w:firstLine="360"/>
      <w:rPr>
        <w:rFonts w:hint="eastAsia" w:ascii="宋体" w:hAnsi="宋体"/>
        <w:sz w:val="30"/>
      </w:rPr>
    </w:pPr>
    <w:r>
      <w:rPr>
        <w:rFonts w:hint="eastAsia" w:ascii="宋体" w:hAnsi="宋体"/>
        <w:sz w:val="30"/>
      </w:rPr>
      <mc:AlternateContent>
        <mc:Choice Requires="wps">
          <w:drawing>
            <wp:anchor distT="0" distB="0" distL="114300" distR="114300" simplePos="0" relativeHeight="251659264" behindDoc="0" locked="0" layoutInCell="1" allowOverlap="1">
              <wp:simplePos x="0" y="0"/>
              <wp:positionH relativeFrom="margin">
                <wp:posOffset>13970</wp:posOffset>
              </wp:positionH>
              <wp:positionV relativeFrom="paragraph">
                <wp:posOffset>81280</wp:posOffset>
              </wp:positionV>
              <wp:extent cx="622935" cy="23050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widowControl/>
                            <w:rPr>
                              <w:rFonts w:hint="eastAsia" w:ascii="仿宋_GB2312" w:eastAsia="仿宋_GB2312"/>
                            </w:rPr>
                          </w:pPr>
                          <w:r>
                            <w:rPr>
                              <w:rStyle w:val="5"/>
                              <w:rFonts w:hint="eastAsia" w:ascii="仿宋_GB2312" w:eastAsia="仿宋_GB2312"/>
                              <w:sz w:val="28"/>
                            </w:rPr>
                            <w:t xml:space="preserve">— </w:t>
                          </w:r>
                          <w:r>
                            <w:rPr>
                              <w:rFonts w:hint="eastAsia" w:ascii="仿宋_GB2312" w:eastAsia="仿宋_GB2312"/>
                              <w:sz w:val="28"/>
                            </w:rPr>
                            <w:fldChar w:fldCharType="begin"/>
                          </w:r>
                          <w:r>
                            <w:rPr>
                              <w:rStyle w:val="5"/>
                              <w:rFonts w:hint="eastAsia" w:ascii="仿宋_GB2312" w:eastAsia="仿宋_GB2312"/>
                              <w:sz w:val="28"/>
                            </w:rPr>
                            <w:instrText xml:space="preserve">PAGE  </w:instrText>
                          </w:r>
                          <w:r>
                            <w:rPr>
                              <w:rFonts w:hint="eastAsia" w:ascii="仿宋_GB2312" w:eastAsia="仿宋_GB2312"/>
                              <w:sz w:val="28"/>
                            </w:rPr>
                            <w:fldChar w:fldCharType="separate"/>
                          </w:r>
                          <w:r>
                            <w:rPr>
                              <w:rStyle w:val="5"/>
                              <w:rFonts w:ascii="仿宋_GB2312" w:eastAsia="仿宋_GB2312"/>
                              <w:sz w:val="28"/>
                            </w:rPr>
                            <w:t>6</w:t>
                          </w:r>
                          <w:r>
                            <w:rPr>
                              <w:rFonts w:hint="eastAsia" w:ascii="仿宋_GB2312" w:eastAsia="仿宋_GB2312"/>
                              <w:sz w:val="28"/>
                            </w:rPr>
                            <w:fldChar w:fldCharType="end"/>
                          </w:r>
                          <w:r>
                            <w:rPr>
                              <w:rStyle w:val="5"/>
                              <w:rFonts w:hint="eastAsia" w:ascii="仿宋_GB2312" w:eastAsia="仿宋_GB2312"/>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1pt;margin-top:6.4pt;height:18.15pt;width:49.05pt;mso-position-horizontal-relative:margin;mso-wrap-style:none;z-index:251659264;mso-width-relative:page;mso-height-relative:page;" filled="f" stroked="f" coordsize="21600,21600" o:gfxdata="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BqWnTUAAAABwEAAA8A&#10;AAAAAAAAAQAgAAAAIgAAAGRycy9kb3ducmV2LnhtbFBLAQIUABQAAAAIAIdO4kDgmgyPGwIAACEE&#10;AAAOAAAAAAAAAAEAIAAAACMBAABkcnMvZTJvRG9jLnhtbFBLBQYAAAAABgAGAFkBAACwBQAAAAA=&#10;">
              <v:fill on="f" focussize="0,0"/>
              <v:stroke on="f" weight="0.5pt"/>
              <v:imagedata o:title=""/>
              <o:lock v:ext="edit" aspectratio="f"/>
              <v:textbox inset="0mm,0mm,0mm,0mm" style="mso-fit-shape-to-text:t;">
                <w:txbxContent>
                  <w:p>
                    <w:pPr>
                      <w:pStyle w:val="2"/>
                      <w:widowControl/>
                      <w:rPr>
                        <w:rFonts w:hint="eastAsia" w:ascii="仿宋_GB2312" w:eastAsia="仿宋_GB2312"/>
                      </w:rPr>
                    </w:pPr>
                    <w:r>
                      <w:rPr>
                        <w:rStyle w:val="5"/>
                        <w:rFonts w:hint="eastAsia" w:ascii="仿宋_GB2312" w:eastAsia="仿宋_GB2312"/>
                        <w:sz w:val="28"/>
                      </w:rPr>
                      <w:t xml:space="preserve">— </w:t>
                    </w:r>
                    <w:r>
                      <w:rPr>
                        <w:rFonts w:hint="eastAsia" w:ascii="仿宋_GB2312" w:eastAsia="仿宋_GB2312"/>
                        <w:sz w:val="28"/>
                      </w:rPr>
                      <w:fldChar w:fldCharType="begin"/>
                    </w:r>
                    <w:r>
                      <w:rPr>
                        <w:rStyle w:val="5"/>
                        <w:rFonts w:hint="eastAsia" w:ascii="仿宋_GB2312" w:eastAsia="仿宋_GB2312"/>
                        <w:sz w:val="28"/>
                      </w:rPr>
                      <w:instrText xml:space="preserve">PAGE  </w:instrText>
                    </w:r>
                    <w:r>
                      <w:rPr>
                        <w:rFonts w:hint="eastAsia" w:ascii="仿宋_GB2312" w:eastAsia="仿宋_GB2312"/>
                        <w:sz w:val="28"/>
                      </w:rPr>
                      <w:fldChar w:fldCharType="separate"/>
                    </w:r>
                    <w:r>
                      <w:rPr>
                        <w:rStyle w:val="5"/>
                        <w:rFonts w:ascii="仿宋_GB2312" w:eastAsia="仿宋_GB2312"/>
                        <w:sz w:val="28"/>
                      </w:rPr>
                      <w:t>6</w:t>
                    </w:r>
                    <w:r>
                      <w:rPr>
                        <w:rFonts w:hint="eastAsia" w:ascii="仿宋_GB2312" w:eastAsia="仿宋_GB2312"/>
                        <w:sz w:val="28"/>
                      </w:rPr>
                      <w:fldChar w:fldCharType="end"/>
                    </w:r>
                    <w:r>
                      <w:rPr>
                        <w:rStyle w:val="5"/>
                        <w:rFonts w:hint="eastAsia" w:ascii="仿宋_GB2312" w:eastAsia="仿宋_GB2312"/>
                        <w:sz w:val="28"/>
                      </w:rPr>
                      <w:t xml:space="preserve"> —</w:t>
                    </w:r>
                  </w:p>
                </w:txbxContent>
              </v:textbox>
            </v:shape>
          </w:pict>
        </mc:Fallback>
      </mc:AlternateContent>
    </w:r>
    <w:r>
      <w:rPr>
        <w:rFonts w:hint="eastAsia" w:ascii="宋体" w:hAnsi="宋体"/>
        <w:sz w:val="30"/>
      </w:rPr>
      <w:tab/>
    </w:r>
    <w:r>
      <w:rPr>
        <w:rFonts w:hint="eastAsia" w:ascii="宋体" w:hAnsi="宋体"/>
        <w:sz w:val="30"/>
      </w:rPr>
      <w:tab/>
    </w:r>
    <w:r>
      <w:rPr>
        <w:rFonts w:hint="eastAsia" w:ascii="宋体" w:hAnsi="宋体"/>
        <w:sz w:val="30"/>
      </w:rPr>
      <w:tab/>
    </w:r>
    <w:r>
      <w:rPr>
        <w:rFonts w:hint="eastAsia" w:ascii="宋体" w:hAnsi="宋体"/>
        <w:sz w:val="3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5F99"/>
    <w:multiLevelType w:val="multilevel"/>
    <w:tmpl w:val="140D5F99"/>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A31D7"/>
    <w:rsid w:val="30422D6E"/>
    <w:rsid w:val="390A31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 w:type="paragraph" w:customStyle="1" w:styleId="7">
    <w:name w:val="普通(网站) New New New New New New New New New New New New"/>
    <w:basedOn w:val="8"/>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2018-01-18T07:57:00Z</dcterms:created>
  <dc:creator>Administrator</dc:creator>
  <cp:lastModifiedBy>Administrator</cp:lastModifiedBy>
  <dcterms:modified xsi:type="dcterms:W3CDTF">2018-01-18T08:12:44Z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