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资产负债表</w:t>
      </w:r>
    </w:p>
    <w:p>
      <w:pPr>
        <w:spacing w:line="3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>日</w:t>
      </w:r>
      <w:r>
        <w:rPr>
          <w:sz w:val="18"/>
          <w:szCs w:val="18"/>
        </w:rPr>
        <w:t xml:space="preserve"> </w:t>
      </w:r>
    </w:p>
    <w:p>
      <w:pPr>
        <w:spacing w:line="300" w:lineRule="exact"/>
        <w:ind w:firstLine="4680" w:firstLineChars="26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会农社</w:t>
      </w:r>
      <w:r>
        <w:rPr>
          <w:sz w:val="18"/>
          <w:szCs w:val="18"/>
        </w:rPr>
        <w:t>01</w:t>
      </w:r>
      <w:r>
        <w:rPr>
          <w:rFonts w:hint="eastAsia"/>
          <w:sz w:val="18"/>
          <w:szCs w:val="18"/>
        </w:rPr>
        <w:t>表</w:t>
      </w:r>
    </w:p>
    <w:p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编制单位：</w:t>
      </w:r>
      <w:r>
        <w:rPr>
          <w:sz w:val="18"/>
          <w:szCs w:val="18"/>
        </w:rPr>
        <w:t xml:space="preserve">                                                          </w:t>
      </w:r>
      <w:r>
        <w:rPr>
          <w:rFonts w:hint="eastAsia"/>
          <w:sz w:val="18"/>
          <w:szCs w:val="18"/>
        </w:rPr>
        <w:t>单位：元</w:t>
      </w:r>
    </w:p>
    <w:tbl>
      <w:tblPr>
        <w:tblStyle w:val="6"/>
        <w:tblW w:w="8748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426"/>
        <w:gridCol w:w="900"/>
        <w:gridCol w:w="900"/>
        <w:gridCol w:w="2454"/>
        <w:gridCol w:w="426"/>
        <w:gridCol w:w="900"/>
        <w:gridCol w:w="90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行次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年末数</w:t>
            </w:r>
          </w:p>
        </w:tc>
        <w:tc>
          <w:tcPr>
            <w:tcW w:w="24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负债及所有者权益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行次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年末数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流动资产：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货币资金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应收款项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存货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流动资产合计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长期资产：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对外投资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农业资产：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牲畜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禽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资产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林木资产</w:t>
            </w:r>
          </w:p>
          <w:p>
            <w:pPr>
              <w:spacing w:line="280" w:lineRule="exact"/>
              <w:ind w:firstLine="528" w:firstLineChars="300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农业资产合计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固定资产：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固定资产原值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减：累计折旧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固定资产净值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固定资产清理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在建工程</w:t>
            </w:r>
          </w:p>
          <w:p>
            <w:pPr>
              <w:spacing w:line="280" w:lineRule="exact"/>
              <w:ind w:firstLine="528" w:firstLineChars="300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固定资产合计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其他资产：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无形资产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长期资产合计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资产总计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流动负债：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短期借款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应付款项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应付工资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应付盈余返还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应付剩余盈余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流动负债合计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长期负债：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长期借款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专项应付款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长期负债合计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负债合计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所有者权益：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股金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专项基金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资本公积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盈余公积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未分配盈余</w:t>
            </w:r>
          </w:p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所有者权益合计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负债和所有者权益总计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补充资料：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4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无法收回、尚未批准核销的应收款项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盘亏、毁损和报废、尚未批准核销的存货</w:t>
            </w:r>
          </w:p>
        </w:tc>
        <w:tc>
          <w:tcPr>
            <w:tcW w:w="42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无法收回、尚未批准核销的对外投资</w:t>
            </w:r>
          </w:p>
        </w:tc>
        <w:tc>
          <w:tcPr>
            <w:tcW w:w="42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死亡毁损、尚未批准核销的农业资产</w:t>
            </w:r>
          </w:p>
        </w:tc>
        <w:tc>
          <w:tcPr>
            <w:tcW w:w="42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盘亏、毁损和报废、尚未批准核销的固定资产</w:t>
            </w:r>
          </w:p>
        </w:tc>
        <w:tc>
          <w:tcPr>
            <w:tcW w:w="42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毁损和报废、尚未批准核销的在建工程</w:t>
            </w:r>
          </w:p>
        </w:tc>
        <w:tc>
          <w:tcPr>
            <w:tcW w:w="426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注销和无效、尚未批准核销的无形资产</w:t>
            </w:r>
          </w:p>
        </w:tc>
        <w:tc>
          <w:tcPr>
            <w:tcW w:w="4261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>
      <w:pPr>
        <w:ind w:firstLine="4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盈余及盈余分配表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</w:p>
    <w:p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rFonts w:hint="eastAsia"/>
          <w:sz w:val="18"/>
          <w:szCs w:val="18"/>
        </w:rPr>
        <w:t>会农社</w:t>
      </w:r>
      <w:r>
        <w:rPr>
          <w:sz w:val="18"/>
          <w:szCs w:val="18"/>
        </w:rPr>
        <w:t>02</w:t>
      </w:r>
      <w:r>
        <w:rPr>
          <w:rFonts w:hint="eastAsia"/>
          <w:sz w:val="18"/>
          <w:szCs w:val="18"/>
        </w:rPr>
        <w:t>表</w:t>
      </w:r>
    </w:p>
    <w:p>
      <w:pPr>
        <w:spacing w:line="280" w:lineRule="exact"/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>编制单位：</w:t>
      </w: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>单位：元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900"/>
        <w:gridCol w:w="900"/>
        <w:gridCol w:w="2880"/>
        <w:gridCol w:w="900"/>
        <w:gridCol w:w="8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本年盈余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一、经营收入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加：投资收益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减：经营支出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管理费用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二、经营收益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加：其他收入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减：其他支出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三、本年盈余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盈余分配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四、本年盈余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加：年初未分配盈余</w:t>
            </w:r>
          </w:p>
          <w:p>
            <w:pPr>
              <w:spacing w:line="280" w:lineRule="exact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其他转入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五、可分配盈余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减：提取盈余公积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盈余返还</w:t>
            </w:r>
          </w:p>
          <w:p>
            <w:pPr>
              <w:spacing w:line="280" w:lineRule="exact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剩余盈余分配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六、年末未分配盈余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ascii="黑体" w:hAnsi="宋体" w:eastAsia="黑体" w:cs="宋体"/>
          <w:sz w:val="32"/>
          <w:szCs w:val="32"/>
        </w:rPr>
      </w:pPr>
    </w:p>
    <w:p>
      <w:pPr>
        <w:shd w:val="solid" w:color="FFFFFF" w:fill="auto"/>
        <w:autoSpaceDN w:val="0"/>
        <w:spacing w:line="432" w:lineRule="auto"/>
        <w:jc w:val="left"/>
        <w:rPr>
          <w:rFonts w:hint="eastAsia"/>
          <w:shd w:val="clear" w:color="auto" w:fill="FFFFFF"/>
        </w:rPr>
      </w:pPr>
    </w:p>
    <w:p>
      <w:pPr>
        <w:shd w:val="solid" w:color="FFFFFF" w:fill="auto"/>
        <w:autoSpaceDN w:val="0"/>
        <w:spacing w:line="432" w:lineRule="auto"/>
        <w:jc w:val="left"/>
        <w:rPr>
          <w:shd w:val="clear" w:color="auto" w:fill="FFFFFF"/>
        </w:rPr>
      </w:pPr>
    </w:p>
    <w:p>
      <w:pPr>
        <w:shd w:val="solid" w:color="FFFFFF" w:fill="auto"/>
        <w:autoSpaceDN w:val="0"/>
        <w:spacing w:line="432" w:lineRule="auto"/>
        <w:jc w:val="left"/>
        <w:rPr>
          <w:shd w:val="clear" w:color="auto" w:fill="FFFFFF"/>
        </w:rPr>
      </w:pPr>
    </w:p>
    <w:p>
      <w:pPr>
        <w:shd w:val="solid" w:color="FFFFFF" w:fill="auto"/>
        <w:autoSpaceDN w:val="0"/>
        <w:spacing w:line="432" w:lineRule="auto"/>
        <w:jc w:val="left"/>
        <w:rPr>
          <w:shd w:val="clear" w:color="auto" w:fill="FFFFFF"/>
        </w:rPr>
      </w:pPr>
    </w:p>
    <w:p>
      <w:pPr>
        <w:shd w:val="solid" w:color="FFFFFF" w:fill="auto"/>
        <w:autoSpaceDN w:val="0"/>
        <w:spacing w:line="432" w:lineRule="auto"/>
        <w:jc w:val="left"/>
        <w:rPr>
          <w:shd w:val="clear" w:color="auto" w:fill="FFFFFF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418" w:gutter="0"/>
          <w:cols w:space="720" w:num="1"/>
          <w:docGrid w:type="lines" w:linePitch="312" w:charSpace="0"/>
        </w:sectPr>
      </w:pPr>
    </w:p>
    <w:p>
      <w:pPr>
        <w:shd w:val="solid" w:color="FFFFFF" w:fill="auto"/>
        <w:autoSpaceDN w:val="0"/>
        <w:spacing w:line="432" w:lineRule="auto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成员权益变动表</w:t>
      </w:r>
    </w:p>
    <w:p>
      <w:pPr>
        <w:shd w:val="solid" w:color="FFFFFF" w:fill="auto"/>
        <w:autoSpaceDN w:val="0"/>
        <w:spacing w:line="432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</w:p>
    <w:p>
      <w:pPr>
        <w:shd w:val="solid" w:color="FFFFFF" w:fill="auto"/>
        <w:autoSpaceDN w:val="0"/>
        <w:spacing w:line="432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Cs w:val="21"/>
        </w:rPr>
        <w:t xml:space="preserve">编制单位:                                        </w:t>
      </w:r>
      <w:r>
        <w:rPr>
          <w:rFonts w:hint="eastAsia" w:ascii="宋体" w:hAnsi="宋体"/>
          <w:sz w:val="28"/>
          <w:szCs w:val="28"/>
        </w:rPr>
        <w:t xml:space="preserve">                                                        </w:t>
      </w:r>
      <w:r>
        <w:rPr>
          <w:rFonts w:hint="eastAsia" w:ascii="宋体" w:hAnsi="宋体"/>
          <w:sz w:val="28"/>
          <w:szCs w:val="28"/>
          <w:eastAsianLayout w:id="3" w:combine="1"/>
        </w:rPr>
        <w:t xml:space="preserve"> 会农社03表   单位: 元</w:t>
      </w:r>
    </w:p>
    <w:tbl>
      <w:tblPr>
        <w:tblStyle w:val="7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080"/>
        <w:gridCol w:w="1256"/>
        <w:gridCol w:w="1110"/>
        <w:gridCol w:w="1414"/>
        <w:gridCol w:w="1080"/>
        <w:gridCol w:w="1080"/>
        <w:gridCol w:w="1080"/>
        <w:gridCol w:w="144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项目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股金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专项资金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资本公积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盈余公积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未分配盈余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年初余额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本年增加数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其中：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 w:val="18"/>
                <w:szCs w:val="18"/>
              </w:rPr>
              <w:t>其中：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 w:val="18"/>
                <w:szCs w:val="18"/>
              </w:rPr>
              <w:t>其中：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 w:val="18"/>
                <w:szCs w:val="18"/>
              </w:rPr>
              <w:t>其中：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资本公积</w:t>
            </w:r>
          </w:p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转增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国家财政直接补助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股金溢价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从盈余中提取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盈余公积</w:t>
            </w:r>
          </w:p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转增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接受捐赠转入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资产评估增值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成员增加</w:t>
            </w:r>
          </w:p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本年减少数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按交易（额）</w:t>
            </w:r>
          </w:p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分配的盈余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剩余盈余分配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年末余额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hd w:val="solid" w:color="FFFFFF" w:fill="auto"/>
        <w:autoSpaceDN w:val="0"/>
        <w:spacing w:line="432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成员权益变动表编制说明</w:t>
      </w:r>
    </w:p>
    <w:p>
      <w:pPr>
        <w:rPr>
          <w:rFonts w:hint="eastAsia"/>
        </w:rPr>
      </w:pPr>
      <w:r>
        <w:t>1.</w:t>
      </w:r>
      <w:r>
        <w:rPr>
          <w:rFonts w:hint="eastAsia"/>
        </w:rPr>
        <w:t>本表反映合作社报告年度成员权益增减变动的情况。</w:t>
      </w:r>
    </w:p>
    <w:p>
      <w:r>
        <w:t>2.</w:t>
      </w:r>
      <w:r>
        <w:rPr>
          <w:rFonts w:hint="eastAsia"/>
        </w:rPr>
        <w:t>本表各项目应根据“股金”、“专项资金”、“资本公积”、“盈余公积”、“盈余分配”科目的发生额分析填列。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t>3.</w:t>
      </w:r>
      <w:r>
        <w:rPr>
          <w:rFonts w:hint="eastAsia"/>
        </w:rPr>
        <w:t>未分配盈余的本年增加数是指本年实现盈余数（净亏损以</w:t>
      </w:r>
      <w:r>
        <w:rPr>
          <w:rFonts w:hint="eastAsia" w:ascii="宋体" w:hAnsi="宋体"/>
        </w:rPr>
        <w:t>“－</w:t>
      </w:r>
      <w:r>
        <w:rPr>
          <w:rFonts w:hint="eastAsia"/>
        </w:rPr>
        <w:t>”号填列</w:t>
      </w:r>
    </w:p>
    <w:p>
      <w:pPr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74" w:right="1985" w:bottom="1588" w:left="2098" w:header="851" w:footer="141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69" w:h="357" w:hRule="exact" w:wrap="around" w:vAnchor="page" w:hAnchor="margin" w:xAlign="outside" w:y="15083"/>
      <w:rPr>
        <w:rStyle w:val="5"/>
        <w:rFonts w:hint="eastAsia"/>
        <w:b/>
        <w:bCs/>
        <w:sz w:val="28"/>
      </w:rPr>
    </w:pPr>
    <w:r>
      <w:rPr>
        <w:rStyle w:val="5"/>
        <w:rFonts w:hint="eastAsia"/>
        <w:b/>
        <w:bCs/>
        <w:sz w:val="28"/>
      </w:rPr>
      <w:t xml:space="preserve">  —</w:t>
    </w:r>
    <w:r>
      <w:rPr>
        <w:rStyle w:val="5"/>
        <w:b w:val="0"/>
        <w:bCs w:val="0"/>
        <w:sz w:val="28"/>
      </w:rPr>
      <w:t xml:space="preserve"> </w:t>
    </w:r>
    <w:r>
      <w:rPr>
        <w:b w:val="0"/>
        <w:bCs w:val="0"/>
        <w:sz w:val="28"/>
      </w:rPr>
      <w:fldChar w:fldCharType="begin"/>
    </w:r>
    <w:r>
      <w:rPr>
        <w:rStyle w:val="5"/>
        <w:b w:val="0"/>
        <w:bCs w:val="0"/>
        <w:sz w:val="28"/>
      </w:rPr>
      <w:instrText xml:space="preserve">PAGE  </w:instrText>
    </w:r>
    <w:r>
      <w:rPr>
        <w:b w:val="0"/>
        <w:bCs w:val="0"/>
        <w:sz w:val="28"/>
      </w:rPr>
      <w:fldChar w:fldCharType="separate"/>
    </w:r>
    <w:r>
      <w:rPr>
        <w:rStyle w:val="5"/>
        <w:b w:val="0"/>
        <w:bCs w:val="0"/>
        <w:sz w:val="28"/>
      </w:rPr>
      <w:t>12</w:t>
    </w:r>
    <w:r>
      <w:rPr>
        <w:b w:val="0"/>
        <w:bCs w:val="0"/>
        <w:sz w:val="28"/>
      </w:rPr>
      <w:fldChar w:fldCharType="end"/>
    </w:r>
    <w:r>
      <w:rPr>
        <w:rStyle w:val="5"/>
        <w:b w:val="0"/>
        <w:bCs w:val="0"/>
        <w:sz w:val="28"/>
      </w:rPr>
      <w:t xml:space="preserve"> </w:t>
    </w:r>
    <w:r>
      <w:rPr>
        <w:rStyle w:val="5"/>
        <w:rFonts w:hint="eastAsia"/>
        <w:b/>
        <w:bCs/>
        <w:sz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3773"/>
    <w:rsid w:val="281D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2017-06-14T09:01:00Z</dcterms:created>
  <dc:creator>win8</dc:creator>
  <cp:lastModifiedBy>win8</cp:lastModifiedBy>
  <dcterms:modified xsi:type="dcterms:W3CDTF">2017-06-14T09:02:02Z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