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附件</w:t>
      </w:r>
      <w:r>
        <w:rPr>
          <w:rFonts w:ascii="Times New Roman" w:hAnsi="Times New Roman" w:eastAsia="黑体" w:cs="Times New Roman"/>
          <w:sz w:val="30"/>
          <w:szCs w:val="30"/>
        </w:rPr>
        <w:t>2</w:t>
      </w:r>
    </w:p>
    <w:p>
      <w:pPr>
        <w:spacing w:before="156" w:beforeLines="50" w:after="156" w:afterLines="5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方正小标宋简体" w:hAnsi="Times New Roman" w:eastAsia="方正小标宋简体" w:cs="Times New Roman"/>
          <w:sz w:val="36"/>
          <w:szCs w:val="36"/>
        </w:rPr>
        <w:t>农村一二三产业融合发展项目评分表</w:t>
      </w:r>
      <w:bookmarkEnd w:id="0"/>
    </w:p>
    <w:tbl>
      <w:tblPr>
        <w:tblStyle w:val="2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44"/>
        <w:gridCol w:w="542"/>
        <w:gridCol w:w="5553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分值</w:t>
            </w:r>
          </w:p>
        </w:tc>
        <w:tc>
          <w:tcPr>
            <w:tcW w:w="5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评分标准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项目主体规模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投资规模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5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达到入库条件第4条投资规模要求得5分，每超出20%多得1分。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项目主体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效益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投资效益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5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达到300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亩或年销售达到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2000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万元计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15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分；达到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00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亩或年销售达到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15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00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万元计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分，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达不到的得0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分。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项目主体信用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企业信用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5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出具有效信用报告，无失信记录计1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分；有1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项失信记录计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分；有2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项及以上失信记录倒扣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0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分；不提供倒扣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15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分。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村庄规划编制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5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项目所在地村庄规划已编制计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分；正在编制中计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分；未编制计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分。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项目现状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及前景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5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、市场发展前景好的计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5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分，一般计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3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分，较差计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分。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、同行业中竞争力强的计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5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分，一般计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3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分，较差计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分。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3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、三产融合程度较高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产出率较高计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5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分，一般计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3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分，较差计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分。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4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、运营管理规范的计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5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分，一般计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3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分，较差计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分。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5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、有清晰良好的三产融合发展规划的计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5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分，一般计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3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分，较差计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分。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6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、社会效益明显，示范引领作用发挥好的计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5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分，一般计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3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分，较差计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分。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带动力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5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通过委托生产、订单农业、入股分红和利润返还、吸纳农民就业等形式，与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0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0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名及以上农民建立可靠、稳定的利益联结机制的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</w:rPr>
              <w:t>（含带动稳定就业不少于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</w:rPr>
              <w:t>0人）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，并有相关有效证明或所属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</w:rPr>
              <w:t>区（村）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出具的带动农户证明的得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15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分，达不到的得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0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</w:rPr>
              <w:t>；每超过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</w:rPr>
              <w:t>0人，加1分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。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val="en-US" w:eastAsia="zh-CN"/>
              </w:rPr>
              <w:t>高新技术企业此项不作考察，计满分。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通用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5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、有规范的管理制度和财务制度、通过企业管理体系认证、通过职业安全与卫生管理体系认证，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项计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分，共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6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分，没有计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0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分。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、被评为环保诚信企业或环保良好企业、守合同重信用企业等同类称号的，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项计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分，共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4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分，没有计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0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分。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3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、获市级以上荣誉称号的，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项计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分，共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5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分，没有计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0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分。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</w:tbl>
    <w:p>
      <w:pPr>
        <w:spacing w:line="500" w:lineRule="exact"/>
        <w:ind w:right="640"/>
        <w:rPr>
          <w:rFonts w:ascii="Times New Roman" w:hAnsi="Times New Roman" w:eastAsia="仿宋_GB2312" w:cs="Times New Roman"/>
          <w:spacing w:val="-20"/>
          <w:sz w:val="32"/>
          <w:szCs w:val="32"/>
        </w:rPr>
      </w:pPr>
      <w:r>
        <w:rPr>
          <w:rFonts w:ascii="仿宋_GB2312" w:hAnsi="Times New Roman" w:eastAsia="仿宋_GB2312" w:cs="Times New Roman"/>
          <w:spacing w:val="-20"/>
          <w:sz w:val="24"/>
          <w:szCs w:val="24"/>
        </w:rPr>
        <w:t>备注：综合得分</w:t>
      </w:r>
      <w:r>
        <w:rPr>
          <w:rFonts w:hint="eastAsia" w:ascii="Times New Roman" w:hAnsi="Times New Roman" w:eastAsia="仿宋_GB2312" w:cs="Times New Roman"/>
          <w:spacing w:val="-20"/>
          <w:sz w:val="24"/>
          <w:szCs w:val="24"/>
        </w:rPr>
        <w:t>9</w:t>
      </w:r>
      <w:r>
        <w:rPr>
          <w:rFonts w:ascii="Times New Roman" w:hAnsi="Times New Roman" w:eastAsia="仿宋_GB2312" w:cs="Times New Roman"/>
          <w:spacing w:val="-20"/>
          <w:sz w:val="24"/>
          <w:szCs w:val="24"/>
        </w:rPr>
        <w:t>0</w:t>
      </w:r>
      <w:r>
        <w:rPr>
          <w:rFonts w:ascii="仿宋_GB2312" w:hAnsi="Times New Roman" w:eastAsia="仿宋_GB2312" w:cs="Times New Roman"/>
          <w:spacing w:val="-20"/>
          <w:sz w:val="24"/>
          <w:szCs w:val="24"/>
        </w:rPr>
        <w:t>分以上可</w:t>
      </w:r>
      <w:r>
        <w:rPr>
          <w:rFonts w:hint="eastAsia" w:ascii="仿宋_GB2312" w:hAnsi="Times New Roman" w:eastAsia="仿宋_GB2312" w:cs="Times New Roman"/>
          <w:spacing w:val="-20"/>
          <w:sz w:val="24"/>
          <w:szCs w:val="24"/>
        </w:rPr>
        <w:t>纳入</w:t>
      </w:r>
      <w:r>
        <w:rPr>
          <w:rFonts w:ascii="仿宋_GB2312" w:hAnsi="Times New Roman" w:eastAsia="仿宋_GB2312" w:cs="Times New Roman"/>
          <w:spacing w:val="-20"/>
          <w:sz w:val="24"/>
          <w:szCs w:val="24"/>
        </w:rPr>
        <w:t>三产融合</w:t>
      </w:r>
      <w:r>
        <w:rPr>
          <w:rFonts w:hint="eastAsia" w:ascii="仿宋_GB2312" w:hAnsi="Times New Roman" w:eastAsia="仿宋_GB2312" w:cs="Times New Roman"/>
          <w:spacing w:val="-20"/>
          <w:sz w:val="24"/>
          <w:szCs w:val="24"/>
        </w:rPr>
        <w:t>重点项目库</w:t>
      </w:r>
      <w:r>
        <w:rPr>
          <w:rFonts w:ascii="仿宋_GB2312" w:hAnsi="Times New Roman" w:eastAsia="仿宋_GB2312" w:cs="Times New Roman"/>
          <w:spacing w:val="-20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A249E"/>
    <w:rsid w:val="29CA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2023-03-08T10:21:00Z</dcterms:created>
  <dc:creator>王超（市农业农村局）</dc:creator>
  <cp:lastModifiedBy>王超（市农业农村局）</cp:lastModifiedBy>
  <dcterms:modified xsi:type="dcterms:W3CDTF">2023-03-08T10:21:46Z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